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C87" w:rsidRPr="00ED04E8" w:rsidRDefault="007A2C87" w:rsidP="007A2C87">
      <w:pPr>
        <w:pStyle w:val="a7"/>
      </w:pPr>
      <w:bookmarkStart w:id="0" w:name="_GoBack"/>
      <w:bookmarkEnd w:id="0"/>
      <w:r w:rsidRPr="00ED04E8">
        <w:t xml:space="preserve">ОГЛЯД СТАНУ ЗДІЙСНЕННЯ ПРАВОСУДДЯ </w:t>
      </w:r>
    </w:p>
    <w:p w:rsidR="005839C3" w:rsidRPr="00ED04E8" w:rsidRDefault="005839C3" w:rsidP="007A2C87">
      <w:pPr>
        <w:pStyle w:val="a7"/>
      </w:pPr>
      <w:r w:rsidRPr="00ED04E8">
        <w:t>МІСЦЕВИ</w:t>
      </w:r>
      <w:r w:rsidR="00D76D2C" w:rsidRPr="00ED04E8">
        <w:t>МИ</w:t>
      </w:r>
      <w:r w:rsidR="00EA4E6C" w:rsidRPr="00ED04E8">
        <w:t xml:space="preserve"> ЗАГАЛЬНИМИ</w:t>
      </w:r>
      <w:r w:rsidRPr="00ED04E8">
        <w:t xml:space="preserve"> СУД</w:t>
      </w:r>
      <w:r w:rsidR="00D76D2C" w:rsidRPr="00ED04E8">
        <w:t>АМИ</w:t>
      </w:r>
    </w:p>
    <w:p w:rsidR="005839C3" w:rsidRPr="00ED04E8" w:rsidRDefault="005839C3" w:rsidP="005839C3">
      <w:pPr>
        <w:jc w:val="center"/>
        <w:rPr>
          <w:b/>
          <w:bCs/>
        </w:rPr>
      </w:pPr>
      <w:r w:rsidRPr="00ED04E8">
        <w:rPr>
          <w:b/>
          <w:bCs/>
        </w:rPr>
        <w:t>ВІННИЦЬКОЇ ОБЛАСТІ</w:t>
      </w:r>
    </w:p>
    <w:p w:rsidR="005839C3" w:rsidRPr="00ED04E8" w:rsidRDefault="00701B42" w:rsidP="005839C3">
      <w:pPr>
        <w:pStyle w:val="1"/>
      </w:pPr>
      <w:r>
        <w:t>ЗА</w:t>
      </w:r>
      <w:r w:rsidR="00F46354" w:rsidRPr="00ED04E8">
        <w:t xml:space="preserve"> </w:t>
      </w:r>
      <w:r w:rsidR="00EA4E6C" w:rsidRPr="00ED04E8">
        <w:t>201</w:t>
      </w:r>
      <w:r w:rsidR="00A13A59">
        <w:t>9</w:t>
      </w:r>
      <w:r w:rsidR="00F46354" w:rsidRPr="00ED04E8">
        <w:t xml:space="preserve"> Р</w:t>
      </w:r>
      <w:r w:rsidR="00C33532" w:rsidRPr="00ED04E8">
        <w:t>І</w:t>
      </w:r>
      <w:r w:rsidR="00777DBD" w:rsidRPr="00ED04E8">
        <w:t>К</w:t>
      </w:r>
    </w:p>
    <w:p w:rsidR="005839C3" w:rsidRPr="00ED04E8" w:rsidRDefault="005839C3" w:rsidP="005839C3">
      <w:pPr>
        <w:jc w:val="both"/>
      </w:pPr>
    </w:p>
    <w:p w:rsidR="009D4128" w:rsidRPr="00ED04E8" w:rsidRDefault="005839C3" w:rsidP="00EA1E40">
      <w:pPr>
        <w:tabs>
          <w:tab w:val="left" w:pos="1080"/>
        </w:tabs>
        <w:ind w:firstLine="708"/>
        <w:jc w:val="both"/>
      </w:pPr>
      <w:r w:rsidRPr="00ED04E8">
        <w:t xml:space="preserve">У </w:t>
      </w:r>
      <w:r w:rsidRPr="00ED04E8">
        <w:rPr>
          <w:szCs w:val="28"/>
        </w:rPr>
        <w:t xml:space="preserve">Вінницькій області </w:t>
      </w:r>
      <w:r w:rsidR="007976C6" w:rsidRPr="00ED04E8">
        <w:t>функціонує 29</w:t>
      </w:r>
      <w:r w:rsidRPr="00ED04E8">
        <w:t xml:space="preserve"> місцеви</w:t>
      </w:r>
      <w:r w:rsidR="007976C6" w:rsidRPr="00ED04E8">
        <w:t>х</w:t>
      </w:r>
      <w:r w:rsidRPr="00ED04E8">
        <w:t xml:space="preserve"> </w:t>
      </w:r>
      <w:r w:rsidR="00051546" w:rsidRPr="00ED04E8">
        <w:t>загальни</w:t>
      </w:r>
      <w:r w:rsidR="007976C6" w:rsidRPr="00ED04E8">
        <w:t>х</w:t>
      </w:r>
      <w:r w:rsidR="00051546" w:rsidRPr="00ED04E8">
        <w:t xml:space="preserve"> суд</w:t>
      </w:r>
      <w:r w:rsidR="00CD7168" w:rsidRPr="00ED04E8">
        <w:t>ів</w:t>
      </w:r>
      <w:r w:rsidR="00051546" w:rsidRPr="00ED04E8">
        <w:t>,</w:t>
      </w:r>
      <w:r w:rsidR="00571463" w:rsidRPr="00ED04E8">
        <w:t xml:space="preserve"> </w:t>
      </w:r>
      <w:r w:rsidR="00051546" w:rsidRPr="00ED04E8">
        <w:t xml:space="preserve">місцеві </w:t>
      </w:r>
      <w:r w:rsidR="00F6708B" w:rsidRPr="00ED04E8">
        <w:t>адміністративний та господарськи</w:t>
      </w:r>
      <w:r w:rsidR="00051546" w:rsidRPr="00ED04E8">
        <w:t xml:space="preserve">й суди, </w:t>
      </w:r>
      <w:r w:rsidR="00FF0C0E" w:rsidRPr="00ED04E8">
        <w:t>В</w:t>
      </w:r>
      <w:r w:rsidR="00A13A59">
        <w:t>інницький</w:t>
      </w:r>
      <w:r w:rsidR="00051546" w:rsidRPr="00ED04E8">
        <w:t xml:space="preserve"> </w:t>
      </w:r>
      <w:r w:rsidR="00A13A59" w:rsidRPr="00A13A59">
        <w:t xml:space="preserve">Апеляційний суд </w:t>
      </w:r>
      <w:r w:rsidR="00051546" w:rsidRPr="00ED04E8">
        <w:t xml:space="preserve">та </w:t>
      </w:r>
      <w:r w:rsidR="002A1A67">
        <w:t>Сьомий</w:t>
      </w:r>
      <w:r w:rsidR="00051546" w:rsidRPr="00ED04E8">
        <w:t xml:space="preserve"> апеляційний адміністративний суд.</w:t>
      </w:r>
      <w:r w:rsidRPr="00ED04E8">
        <w:t xml:space="preserve"> </w:t>
      </w:r>
    </w:p>
    <w:p w:rsidR="00AB6072" w:rsidRPr="00ED04E8" w:rsidRDefault="00AB6072" w:rsidP="00EA1E40">
      <w:pPr>
        <w:tabs>
          <w:tab w:val="left" w:pos="1080"/>
        </w:tabs>
        <w:ind w:firstLine="708"/>
        <w:jc w:val="both"/>
      </w:pPr>
    </w:p>
    <w:p w:rsidR="005839C3" w:rsidRPr="00ED04E8" w:rsidRDefault="005839C3" w:rsidP="00EA1E40">
      <w:pPr>
        <w:tabs>
          <w:tab w:val="left" w:pos="1080"/>
        </w:tabs>
        <w:ind w:firstLine="708"/>
        <w:jc w:val="both"/>
      </w:pPr>
      <w:r w:rsidRPr="00ED04E8">
        <w:t xml:space="preserve">В місцевих </w:t>
      </w:r>
      <w:r w:rsidR="00675874" w:rsidRPr="00ED04E8">
        <w:t xml:space="preserve">загальних </w:t>
      </w:r>
      <w:r w:rsidRPr="00ED04E8">
        <w:t xml:space="preserve">судах Вінницької області </w:t>
      </w:r>
      <w:r w:rsidR="0088625E" w:rsidRPr="00ED04E8">
        <w:t>станом на</w:t>
      </w:r>
      <w:r w:rsidR="00F46354" w:rsidRPr="00ED04E8">
        <w:t xml:space="preserve"> </w:t>
      </w:r>
      <w:r w:rsidR="00C33532" w:rsidRPr="00ED04E8">
        <w:t>31 грудня</w:t>
      </w:r>
      <w:r w:rsidR="00390A5C" w:rsidRPr="00ED04E8">
        <w:t xml:space="preserve"> 201</w:t>
      </w:r>
      <w:r w:rsidR="00793826">
        <w:rPr>
          <w:lang w:val="ru-RU"/>
        </w:rPr>
        <w:t>9</w:t>
      </w:r>
      <w:r w:rsidR="0088625E" w:rsidRPr="00ED04E8">
        <w:t xml:space="preserve"> року </w:t>
      </w:r>
      <w:r w:rsidR="009D4128" w:rsidRPr="00ED04E8">
        <w:t>штатна чисельність становить</w:t>
      </w:r>
      <w:r w:rsidR="0088625E" w:rsidRPr="00ED04E8">
        <w:t xml:space="preserve"> </w:t>
      </w:r>
      <w:r w:rsidR="00D27F3A" w:rsidRPr="00ED04E8">
        <w:t>1</w:t>
      </w:r>
      <w:r w:rsidR="00540A9D">
        <w:t>76</w:t>
      </w:r>
      <w:r w:rsidR="00D27F3A" w:rsidRPr="00ED04E8">
        <w:t xml:space="preserve"> судді</w:t>
      </w:r>
      <w:r w:rsidR="00DF4D19">
        <w:t>в</w:t>
      </w:r>
      <w:r w:rsidR="00390A5C" w:rsidRPr="00ED04E8">
        <w:t>.</w:t>
      </w:r>
    </w:p>
    <w:p w:rsidR="007976C6" w:rsidRPr="00ED04E8" w:rsidRDefault="007976C6" w:rsidP="00EA1E40">
      <w:pPr>
        <w:jc w:val="both"/>
      </w:pPr>
    </w:p>
    <w:p w:rsidR="00607D20" w:rsidRDefault="00607D20" w:rsidP="00EA1E40">
      <w:pPr>
        <w:ind w:firstLine="708"/>
        <w:jc w:val="both"/>
      </w:pPr>
      <w:r w:rsidRPr="00ED04E8">
        <w:t xml:space="preserve">Структура справ та матеріалів, </w:t>
      </w:r>
      <w:r w:rsidR="00571463" w:rsidRPr="00ED04E8">
        <w:t>що</w:t>
      </w:r>
      <w:r w:rsidRPr="00ED04E8">
        <w:t xml:space="preserve"> надход</w:t>
      </w:r>
      <w:r w:rsidR="00C33532" w:rsidRPr="00ED04E8">
        <w:t>или</w:t>
      </w:r>
      <w:r w:rsidRPr="00ED04E8">
        <w:t xml:space="preserve"> до місцевих загальних судів у поточному звітному періоді</w:t>
      </w:r>
      <w:r w:rsidR="00CD7168" w:rsidRPr="00ED04E8">
        <w:t>,</w:t>
      </w:r>
      <w:r w:rsidRPr="00ED04E8">
        <w:t xml:space="preserve"> виглядає наступним чином:</w:t>
      </w:r>
    </w:p>
    <w:p w:rsidR="00A46AD5" w:rsidRPr="00576311" w:rsidRDefault="00A46AD5" w:rsidP="00576311">
      <w:pPr>
        <w:jc w:val="both"/>
        <w:rPr>
          <w:lang w:val="ru-RU"/>
        </w:rPr>
      </w:pPr>
    </w:p>
    <w:p w:rsidR="009C37AF" w:rsidRPr="00576311" w:rsidRDefault="00856422" w:rsidP="00576311">
      <w:pPr>
        <w:jc w:val="both"/>
        <w:rPr>
          <w:lang w:val="ru-RU"/>
        </w:rPr>
      </w:pPr>
      <w:r>
        <w:rPr>
          <w:noProof/>
          <w:lang w:val="ru-RU"/>
        </w:rPr>
        <w:drawing>
          <wp:inline distT="0" distB="0" distL="0" distR="0">
            <wp:extent cx="5572125" cy="4399280"/>
            <wp:effectExtent l="0" t="0" r="0" b="127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6311" w:rsidRDefault="00576311" w:rsidP="00942761">
      <w:pPr>
        <w:spacing w:line="360" w:lineRule="auto"/>
        <w:ind w:firstLine="435"/>
        <w:jc w:val="both"/>
        <w:rPr>
          <w:lang w:val="ru-RU"/>
        </w:rPr>
      </w:pPr>
    </w:p>
    <w:p w:rsidR="00252E22" w:rsidRDefault="00252E22" w:rsidP="00EA1E40">
      <w:pPr>
        <w:ind w:firstLine="435"/>
        <w:jc w:val="both"/>
      </w:pPr>
      <w:r w:rsidRPr="00ED04E8">
        <w:t xml:space="preserve">Загальна кількість справ та матеріалів, що </w:t>
      </w:r>
      <w:r w:rsidRPr="00475D04">
        <w:t>надійшли</w:t>
      </w:r>
      <w:r w:rsidRPr="00EA1932">
        <w:rPr>
          <w:b/>
        </w:rPr>
        <w:t xml:space="preserve"> </w:t>
      </w:r>
      <w:r w:rsidRPr="00ED04E8">
        <w:t>до місцевих загальних</w:t>
      </w:r>
      <w:r w:rsidR="00B02473" w:rsidRPr="00ED04E8">
        <w:t xml:space="preserve"> судів Вінницької області у 201</w:t>
      </w:r>
      <w:r w:rsidR="00576311">
        <w:rPr>
          <w:lang w:val="ru-RU"/>
        </w:rPr>
        <w:t>8</w:t>
      </w:r>
      <w:r w:rsidRPr="00ED04E8">
        <w:t xml:space="preserve"> та</w:t>
      </w:r>
      <w:r w:rsidR="00817D10" w:rsidRPr="00ED04E8">
        <w:t xml:space="preserve"> </w:t>
      </w:r>
      <w:r w:rsidRPr="00ED04E8">
        <w:t>201</w:t>
      </w:r>
      <w:r w:rsidR="00576311">
        <w:rPr>
          <w:lang w:val="ru-RU"/>
        </w:rPr>
        <w:t>9</w:t>
      </w:r>
      <w:r w:rsidR="00B02473" w:rsidRPr="00ED04E8">
        <w:t xml:space="preserve"> р</w:t>
      </w:r>
      <w:r w:rsidR="00ED04E8" w:rsidRPr="00ED04E8">
        <w:t>о</w:t>
      </w:r>
      <w:r w:rsidR="000D592F" w:rsidRPr="00ED04E8">
        <w:t>ках</w:t>
      </w:r>
      <w:r w:rsidR="00CD7168" w:rsidRPr="00ED04E8">
        <w:t>,</w:t>
      </w:r>
      <w:r w:rsidR="00D067F2" w:rsidRPr="00ED04E8">
        <w:t xml:space="preserve"> </w:t>
      </w:r>
      <w:r w:rsidRPr="00ED04E8">
        <w:t>виглядає наступним чином:</w:t>
      </w:r>
    </w:p>
    <w:p w:rsidR="003F6736" w:rsidRDefault="00856422" w:rsidP="003F6736">
      <w:pPr>
        <w:spacing w:line="360" w:lineRule="auto"/>
        <w:ind w:hanging="142"/>
        <w:jc w:val="both"/>
      </w:pPr>
      <w:r>
        <w:rPr>
          <w:noProof/>
          <w:lang w:val="ru-RU"/>
        </w:rPr>
        <w:lastRenderedPageBreak/>
        <w:drawing>
          <wp:inline distT="0" distB="0" distL="0" distR="0">
            <wp:extent cx="6273165" cy="6580505"/>
            <wp:effectExtent l="0" t="0" r="13335" b="1079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93FA3" w:rsidRDefault="00093FA3" w:rsidP="00EA1E40">
      <w:pPr>
        <w:ind w:firstLine="426"/>
        <w:jc w:val="both"/>
      </w:pPr>
      <w:r w:rsidRPr="00ED04E8">
        <w:t xml:space="preserve">Середньомісячне надходження справ на одного суддю </w:t>
      </w:r>
      <w:r w:rsidR="00CD7168" w:rsidRPr="00ED04E8">
        <w:t>місцевого загального</w:t>
      </w:r>
      <w:r w:rsidRPr="00ED04E8">
        <w:t xml:space="preserve"> суду в порівнянні з попереднім періодом </w:t>
      </w:r>
      <w:r w:rsidR="00AD65F3">
        <w:t>зменшилось</w:t>
      </w:r>
      <w:r w:rsidR="0037286F">
        <w:t xml:space="preserve"> на </w:t>
      </w:r>
      <w:r w:rsidR="00AD65F3">
        <w:t>0,6</w:t>
      </w:r>
      <w:r w:rsidRPr="00ED04E8">
        <w:t xml:space="preserve">% і становить </w:t>
      </w:r>
      <w:r w:rsidR="00AD65F3">
        <w:rPr>
          <w:lang w:val="ru-RU"/>
        </w:rPr>
        <w:t>57,47</w:t>
      </w:r>
      <w:r w:rsidR="008E3536">
        <w:rPr>
          <w:lang w:val="ru-RU"/>
        </w:rPr>
        <w:t xml:space="preserve"> </w:t>
      </w:r>
      <w:r w:rsidRPr="00ED04E8">
        <w:t>справ</w:t>
      </w:r>
      <w:r w:rsidR="00ED04E8" w:rsidRPr="00ED04E8">
        <w:t xml:space="preserve"> і</w:t>
      </w:r>
      <w:r w:rsidRPr="00ED04E8">
        <w:t xml:space="preserve"> матеріал</w:t>
      </w:r>
      <w:r w:rsidR="00ED04E8" w:rsidRPr="00ED04E8">
        <w:t>ів</w:t>
      </w:r>
      <w:r w:rsidRPr="00ED04E8">
        <w:t xml:space="preserve"> (у</w:t>
      </w:r>
      <w:r w:rsidR="008B0A1F" w:rsidRPr="00ED04E8">
        <w:t xml:space="preserve"> </w:t>
      </w:r>
      <w:r w:rsidRPr="00ED04E8">
        <w:t>201</w:t>
      </w:r>
      <w:r w:rsidR="00AD65F3">
        <w:rPr>
          <w:lang w:val="ru-RU"/>
        </w:rPr>
        <w:t>8</w:t>
      </w:r>
      <w:r w:rsidRPr="00ED04E8">
        <w:t xml:space="preserve"> ро</w:t>
      </w:r>
      <w:r w:rsidR="000D592F" w:rsidRPr="00ED04E8">
        <w:t>ці</w:t>
      </w:r>
      <w:r w:rsidRPr="00ED04E8">
        <w:t xml:space="preserve"> </w:t>
      </w:r>
      <w:r w:rsidR="00AD65F3">
        <w:t>–</w:t>
      </w:r>
      <w:r w:rsidR="00202766">
        <w:t xml:space="preserve"> </w:t>
      </w:r>
      <w:r w:rsidR="00AD65F3">
        <w:rPr>
          <w:lang w:val="ru-RU"/>
        </w:rPr>
        <w:t>57,84%</w:t>
      </w:r>
      <w:r w:rsidRPr="00ED04E8">
        <w:t xml:space="preserve">). </w:t>
      </w:r>
    </w:p>
    <w:p w:rsidR="001524AE" w:rsidRPr="00ED04E8" w:rsidRDefault="001524AE" w:rsidP="00093FA3">
      <w:pPr>
        <w:ind w:firstLine="708"/>
        <w:jc w:val="both"/>
      </w:pPr>
    </w:p>
    <w:p w:rsidR="00093FA3" w:rsidRDefault="00093FA3" w:rsidP="00EA1E40">
      <w:pPr>
        <w:ind w:firstLine="435"/>
        <w:jc w:val="both"/>
      </w:pPr>
      <w:r w:rsidRPr="00ED04E8">
        <w:rPr>
          <w:b/>
          <w:bCs/>
        </w:rPr>
        <w:t>З найбільшим навантаженням</w:t>
      </w:r>
      <w:r w:rsidRPr="00ED04E8">
        <w:t xml:space="preserve"> </w:t>
      </w:r>
      <w:r w:rsidR="00E0429F" w:rsidRPr="00ED04E8">
        <w:t>(за кількістю справ та матеріалів)</w:t>
      </w:r>
      <w:r w:rsidR="00E0429F">
        <w:t xml:space="preserve"> </w:t>
      </w:r>
      <w:r w:rsidR="00DF4D19">
        <w:t>у звітному періоді</w:t>
      </w:r>
      <w:r w:rsidRPr="00ED04E8">
        <w:t xml:space="preserve"> працювали </w:t>
      </w:r>
      <w:r w:rsidR="00E56C67" w:rsidRPr="00E56C67">
        <w:t xml:space="preserve">за штатним розписом </w:t>
      </w:r>
      <w:r w:rsidRPr="00ED04E8">
        <w:t>судді:</w:t>
      </w:r>
    </w:p>
    <w:p w:rsidR="008E3536" w:rsidRDefault="00EA3A78" w:rsidP="00EA1E40">
      <w:pPr>
        <w:numPr>
          <w:ilvl w:val="0"/>
          <w:numId w:val="1"/>
        </w:numPr>
        <w:jc w:val="both"/>
      </w:pPr>
      <w:r>
        <w:t>Вінницького</w:t>
      </w:r>
      <w:r w:rsidR="00AD65F3">
        <w:t xml:space="preserve"> міськ</w:t>
      </w:r>
      <w:r>
        <w:t>ого</w:t>
      </w:r>
      <w:r w:rsidR="0064400A" w:rsidRPr="0064400A">
        <w:t xml:space="preserve"> суд</w:t>
      </w:r>
      <w:r>
        <w:t>у</w:t>
      </w:r>
      <w:r w:rsidR="009C37AF">
        <w:t xml:space="preserve"> </w:t>
      </w:r>
      <w:r w:rsidR="008E3536">
        <w:t xml:space="preserve">– </w:t>
      </w:r>
      <w:r w:rsidR="00AD65F3" w:rsidRPr="00AD65F3">
        <w:t>82,01</w:t>
      </w:r>
      <w:r w:rsidR="008E3536">
        <w:t>;</w:t>
      </w:r>
    </w:p>
    <w:p w:rsidR="008C0ACD" w:rsidRPr="00ED04E8" w:rsidRDefault="008C1F34" w:rsidP="00EA1E40">
      <w:pPr>
        <w:numPr>
          <w:ilvl w:val="0"/>
          <w:numId w:val="1"/>
        </w:numPr>
        <w:jc w:val="both"/>
      </w:pPr>
      <w:r w:rsidRPr="008C1F34">
        <w:t>Гайсинськ</w:t>
      </w:r>
      <w:r w:rsidR="00EA3A78">
        <w:t>ого</w:t>
      </w:r>
      <w:r w:rsidRPr="008C1F34">
        <w:t xml:space="preserve"> районн</w:t>
      </w:r>
      <w:r w:rsidR="00EA3A78">
        <w:t>ого</w:t>
      </w:r>
      <w:r w:rsidRPr="008C1F34">
        <w:t xml:space="preserve"> суд</w:t>
      </w:r>
      <w:r w:rsidR="00EA3A78">
        <w:t xml:space="preserve">у </w:t>
      </w:r>
      <w:r w:rsidR="008C0ACD">
        <w:t xml:space="preserve">– </w:t>
      </w:r>
      <w:r>
        <w:t>80,24</w:t>
      </w:r>
      <w:r w:rsidR="008C0ACD">
        <w:t>;</w:t>
      </w:r>
    </w:p>
    <w:p w:rsidR="00ED04E8" w:rsidRDefault="008C1F34" w:rsidP="00EA1E40">
      <w:pPr>
        <w:numPr>
          <w:ilvl w:val="0"/>
          <w:numId w:val="1"/>
        </w:numPr>
        <w:jc w:val="both"/>
      </w:pPr>
      <w:r w:rsidRPr="008C1F34">
        <w:t>Калинівськ</w:t>
      </w:r>
      <w:r w:rsidR="00EA3A78">
        <w:t>ого</w:t>
      </w:r>
      <w:r w:rsidRPr="008C1F34">
        <w:t xml:space="preserve"> районн</w:t>
      </w:r>
      <w:r w:rsidR="00EA3A78">
        <w:t>ого</w:t>
      </w:r>
      <w:r w:rsidRPr="008C1F34">
        <w:t xml:space="preserve"> суд</w:t>
      </w:r>
      <w:r w:rsidR="00EA3A78">
        <w:t>у</w:t>
      </w:r>
      <w:r>
        <w:t xml:space="preserve"> </w:t>
      </w:r>
      <w:r w:rsidR="003169B3">
        <w:t xml:space="preserve">– </w:t>
      </w:r>
      <w:r>
        <w:t>77,59</w:t>
      </w:r>
      <w:r w:rsidR="00942761">
        <w:t>;</w:t>
      </w:r>
    </w:p>
    <w:p w:rsidR="00942761" w:rsidRDefault="008C1F34" w:rsidP="00EA1E40">
      <w:pPr>
        <w:numPr>
          <w:ilvl w:val="0"/>
          <w:numId w:val="1"/>
        </w:numPr>
        <w:jc w:val="both"/>
      </w:pPr>
      <w:r w:rsidRPr="008C1F34">
        <w:t>Немирівськ</w:t>
      </w:r>
      <w:r w:rsidR="00EA3A78">
        <w:t>ого</w:t>
      </w:r>
      <w:r w:rsidRPr="008C1F34">
        <w:t xml:space="preserve"> районн</w:t>
      </w:r>
      <w:r w:rsidR="00EA3A78">
        <w:t>ого</w:t>
      </w:r>
      <w:r w:rsidRPr="008C1F34">
        <w:t xml:space="preserve"> суд</w:t>
      </w:r>
      <w:r w:rsidR="00EA3A78">
        <w:t>у</w:t>
      </w:r>
      <w:r>
        <w:t xml:space="preserve"> </w:t>
      </w:r>
      <w:r w:rsidR="0071008E">
        <w:t xml:space="preserve">– </w:t>
      </w:r>
      <w:r>
        <w:t>63,44</w:t>
      </w:r>
      <w:r w:rsidR="0071008E">
        <w:t>;</w:t>
      </w:r>
    </w:p>
    <w:p w:rsidR="0071008E" w:rsidRDefault="008C1F34" w:rsidP="00EA1E40">
      <w:pPr>
        <w:numPr>
          <w:ilvl w:val="0"/>
          <w:numId w:val="1"/>
        </w:numPr>
        <w:jc w:val="both"/>
      </w:pPr>
      <w:r w:rsidRPr="008C1F34">
        <w:t>Бершадськ</w:t>
      </w:r>
      <w:r w:rsidR="00EA3A78">
        <w:t>ого районного</w:t>
      </w:r>
      <w:r w:rsidRPr="008C1F34">
        <w:t xml:space="preserve"> суд</w:t>
      </w:r>
      <w:r w:rsidR="00EA3A78">
        <w:t>у</w:t>
      </w:r>
      <w:r w:rsidR="0064400A" w:rsidRPr="0064400A">
        <w:t xml:space="preserve"> </w:t>
      </w:r>
      <w:r w:rsidR="0071008E">
        <w:t xml:space="preserve">– </w:t>
      </w:r>
      <w:r>
        <w:t>62,71</w:t>
      </w:r>
      <w:r w:rsidR="0071008E">
        <w:t>;</w:t>
      </w:r>
    </w:p>
    <w:p w:rsidR="0071008E" w:rsidRPr="00620BED" w:rsidRDefault="008C1F34" w:rsidP="00EA1E40">
      <w:pPr>
        <w:numPr>
          <w:ilvl w:val="0"/>
          <w:numId w:val="1"/>
        </w:numPr>
        <w:jc w:val="both"/>
      </w:pPr>
      <w:r>
        <w:lastRenderedPageBreak/>
        <w:t>Тульчинськ</w:t>
      </w:r>
      <w:r w:rsidR="00EA3A78">
        <w:t>ого</w:t>
      </w:r>
      <w:r>
        <w:t xml:space="preserve"> районн</w:t>
      </w:r>
      <w:r w:rsidR="00EA3A78">
        <w:t>ого</w:t>
      </w:r>
      <w:r>
        <w:t xml:space="preserve"> </w:t>
      </w:r>
      <w:r w:rsidRPr="008C1F34">
        <w:t>суд</w:t>
      </w:r>
      <w:r w:rsidR="00EA3A78">
        <w:t>у</w:t>
      </w:r>
      <w:r w:rsidRPr="008C1F34">
        <w:t xml:space="preserve"> </w:t>
      </w:r>
      <w:r w:rsidR="0071008E">
        <w:t xml:space="preserve">– </w:t>
      </w:r>
      <w:r>
        <w:t>61,53</w:t>
      </w:r>
      <w:r w:rsidR="0071008E">
        <w:t>.</w:t>
      </w:r>
    </w:p>
    <w:p w:rsidR="00AC334A" w:rsidRDefault="00093FA3" w:rsidP="00EA1E40">
      <w:pPr>
        <w:numPr>
          <w:ilvl w:val="0"/>
          <w:numId w:val="1"/>
        </w:numPr>
        <w:jc w:val="both"/>
      </w:pPr>
      <w:r w:rsidRPr="00ED04E8">
        <w:rPr>
          <w:b/>
          <w:bCs/>
        </w:rPr>
        <w:t>Найменше середньомісячне надходження</w:t>
      </w:r>
      <w:r w:rsidRPr="00ED04E8">
        <w:t xml:space="preserve"> справ та матеріалів на суддю спостерігається у: </w:t>
      </w:r>
    </w:p>
    <w:p w:rsidR="001E3B23" w:rsidRDefault="008C1F34" w:rsidP="00EA1E40">
      <w:pPr>
        <w:numPr>
          <w:ilvl w:val="0"/>
          <w:numId w:val="1"/>
        </w:numPr>
        <w:jc w:val="both"/>
      </w:pPr>
      <w:r w:rsidRPr="008C1F34">
        <w:t>Оратівськ</w:t>
      </w:r>
      <w:r w:rsidR="00EA3A78">
        <w:t>ому</w:t>
      </w:r>
      <w:r w:rsidRPr="008C1F34">
        <w:t xml:space="preserve"> районн</w:t>
      </w:r>
      <w:r w:rsidR="00EA3A78">
        <w:t>ому</w:t>
      </w:r>
      <w:r w:rsidRPr="008C1F34">
        <w:t xml:space="preserve"> суд</w:t>
      </w:r>
      <w:r w:rsidR="00EA3A78">
        <w:t>і</w:t>
      </w:r>
      <w:r w:rsidRPr="008C1F34">
        <w:t xml:space="preserve"> </w:t>
      </w:r>
      <w:r w:rsidR="00AC334A">
        <w:t xml:space="preserve">– </w:t>
      </w:r>
      <w:r>
        <w:t>6,94</w:t>
      </w:r>
      <w:r w:rsidR="00AC334A">
        <w:t>;</w:t>
      </w:r>
    </w:p>
    <w:p w:rsidR="00AC334A" w:rsidRDefault="00E50095" w:rsidP="00EA1E40">
      <w:pPr>
        <w:numPr>
          <w:ilvl w:val="0"/>
          <w:numId w:val="1"/>
        </w:numPr>
        <w:jc w:val="both"/>
      </w:pPr>
      <w:r w:rsidRPr="00E50095">
        <w:t>Теплицьк</w:t>
      </w:r>
      <w:r w:rsidR="00EA3A78">
        <w:t xml:space="preserve">ому районному </w:t>
      </w:r>
      <w:r w:rsidRPr="00E50095">
        <w:t>суд</w:t>
      </w:r>
      <w:r w:rsidR="00EA3A78">
        <w:t>і</w:t>
      </w:r>
      <w:r w:rsidR="009C37AF">
        <w:t xml:space="preserve"> </w:t>
      </w:r>
      <w:r w:rsidR="00AC334A">
        <w:t xml:space="preserve">– </w:t>
      </w:r>
      <w:r w:rsidR="008C1F34">
        <w:t>20,93</w:t>
      </w:r>
      <w:r w:rsidR="00AC334A">
        <w:t>;</w:t>
      </w:r>
    </w:p>
    <w:p w:rsidR="00AC334A" w:rsidRPr="00ED04E8" w:rsidRDefault="008C1F34" w:rsidP="00EA1E40">
      <w:pPr>
        <w:numPr>
          <w:ilvl w:val="0"/>
          <w:numId w:val="1"/>
        </w:numPr>
        <w:jc w:val="both"/>
      </w:pPr>
      <w:r w:rsidRPr="008C1F34">
        <w:t>Чернівецьк</w:t>
      </w:r>
      <w:r w:rsidR="00EA3A78">
        <w:t>ому районному</w:t>
      </w:r>
      <w:r w:rsidRPr="008C1F34">
        <w:t xml:space="preserve"> суд</w:t>
      </w:r>
      <w:r w:rsidR="00EA3A78">
        <w:t>і</w:t>
      </w:r>
      <w:r w:rsidRPr="008C1F34">
        <w:t xml:space="preserve"> </w:t>
      </w:r>
      <w:r w:rsidR="008E3536">
        <w:t xml:space="preserve">– </w:t>
      </w:r>
      <w:r>
        <w:t>27,36</w:t>
      </w:r>
      <w:r w:rsidR="00AC334A">
        <w:t xml:space="preserve">. </w:t>
      </w:r>
    </w:p>
    <w:p w:rsidR="00AE0EA3" w:rsidRDefault="00AE0EA3" w:rsidP="00AE0EA3">
      <w:pPr>
        <w:ind w:left="75"/>
        <w:jc w:val="both"/>
      </w:pPr>
    </w:p>
    <w:p w:rsidR="003A1AD7" w:rsidRDefault="00424E1F" w:rsidP="008C5E8F">
      <w:pPr>
        <w:ind w:firstLine="435"/>
        <w:jc w:val="both"/>
      </w:pPr>
      <w:r w:rsidRPr="00EA1932">
        <w:t>Порівняльний аналіз показників</w:t>
      </w:r>
      <w:r>
        <w:t xml:space="preserve"> </w:t>
      </w:r>
      <w:r w:rsidRPr="00EA1932">
        <w:rPr>
          <w:b/>
        </w:rPr>
        <w:t>середньомісячного надходження</w:t>
      </w:r>
      <w:r>
        <w:t xml:space="preserve"> справ та матеріалів на одного суддю </w:t>
      </w:r>
      <w:r w:rsidR="00E56C67">
        <w:t xml:space="preserve">за штатним розписом </w:t>
      </w:r>
      <w:r>
        <w:t>наведений у таблиці:</w:t>
      </w:r>
    </w:p>
    <w:p w:rsidR="003461F3" w:rsidRDefault="003461F3" w:rsidP="008C5E8F">
      <w:pPr>
        <w:ind w:firstLine="435"/>
        <w:jc w:val="both"/>
      </w:pPr>
    </w:p>
    <w:p w:rsidR="003461F3" w:rsidRDefault="003461F3" w:rsidP="008C5E8F">
      <w:pPr>
        <w:ind w:firstLine="435"/>
        <w:jc w:val="both"/>
      </w:pPr>
    </w:p>
    <w:p w:rsidR="003A1AD7" w:rsidRPr="008E3536" w:rsidRDefault="00856422" w:rsidP="003461F3">
      <w:pPr>
        <w:ind w:firstLine="435"/>
        <w:jc w:val="both"/>
      </w:pPr>
      <w:r>
        <w:rPr>
          <w:noProof/>
          <w:lang w:val="ru-RU"/>
        </w:rPr>
        <w:drawing>
          <wp:inline distT="0" distB="0" distL="0" distR="0">
            <wp:extent cx="6334125" cy="6172200"/>
            <wp:effectExtent l="0" t="0" r="0" b="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6C79" w:rsidRPr="00B52CD2" w:rsidRDefault="00364A84" w:rsidP="00364A84">
      <w:pPr>
        <w:ind w:firstLine="720"/>
        <w:jc w:val="both"/>
      </w:pPr>
      <w:r w:rsidRPr="00B52CD2">
        <w:lastRenderedPageBreak/>
        <w:t>У загальному</w:t>
      </w:r>
      <w:r w:rsidR="00CF1FB4" w:rsidRPr="00B52CD2">
        <w:t>,</w:t>
      </w:r>
      <w:r w:rsidRPr="00B52CD2">
        <w:t xml:space="preserve"> варто відзначити</w:t>
      </w:r>
      <w:r w:rsidR="00CF33D5" w:rsidRPr="00B52CD2">
        <w:t xml:space="preserve"> </w:t>
      </w:r>
      <w:r w:rsidR="00B52CD2" w:rsidRPr="00B52CD2">
        <w:t>зменшення</w:t>
      </w:r>
      <w:r w:rsidRPr="00B52CD2">
        <w:t xml:space="preserve"> середньомісячного надходження справ та матеріалів на одного суддю</w:t>
      </w:r>
      <w:r w:rsidR="006E0C54">
        <w:t xml:space="preserve"> на 0,6%</w:t>
      </w:r>
      <w:r w:rsidR="002244C4" w:rsidRPr="00B52CD2">
        <w:t xml:space="preserve">, що </w:t>
      </w:r>
      <w:r w:rsidR="00B52CD2" w:rsidRPr="00B52CD2">
        <w:t xml:space="preserve">не </w:t>
      </w:r>
      <w:r w:rsidR="002244C4" w:rsidRPr="00B52CD2">
        <w:t xml:space="preserve">спостерігалось </w:t>
      </w:r>
      <w:r w:rsidR="00D61CF0" w:rsidRPr="00B52CD2">
        <w:t xml:space="preserve">в </w:t>
      </w:r>
      <w:r w:rsidR="00E70518" w:rsidRPr="00B52CD2">
        <w:t>попередніх роках</w:t>
      </w:r>
      <w:r w:rsidR="00D61CF0" w:rsidRPr="00B52CD2">
        <w:t xml:space="preserve"> – </w:t>
      </w:r>
      <w:r w:rsidR="00581A1F" w:rsidRPr="00B52CD2">
        <w:t>у 2016 році середньомісячне надходження справ і матеріалів на одного суддю збільшилось на 0,66% порівняно із 2015 роком, у 2017 році середньомісячне надходження справ та матеріалів на одного суддю збільшилось на 2,29 % порівняно з 2016 роком</w:t>
      </w:r>
      <w:r w:rsidR="00E70518" w:rsidRPr="00B52CD2">
        <w:t xml:space="preserve">, у 2018 році збільшилось на </w:t>
      </w:r>
      <w:r w:rsidR="004124D8" w:rsidRPr="00B52CD2">
        <w:t>3,41% порівняно з 2017 роком</w:t>
      </w:r>
      <w:r w:rsidR="00FB1966" w:rsidRPr="00B52CD2">
        <w:t>.</w:t>
      </w:r>
    </w:p>
    <w:p w:rsidR="009E1A98" w:rsidRPr="00A72713" w:rsidRDefault="00E30993" w:rsidP="008B0438">
      <w:pPr>
        <w:ind w:firstLine="720"/>
        <w:jc w:val="both"/>
      </w:pPr>
      <w:r w:rsidRPr="00A72713">
        <w:t>З</w:t>
      </w:r>
      <w:r w:rsidR="00293CDA" w:rsidRPr="00A72713">
        <w:t>більшилось</w:t>
      </w:r>
      <w:r w:rsidR="00364A84" w:rsidRPr="00A72713">
        <w:t xml:space="preserve"> </w:t>
      </w:r>
      <w:r w:rsidR="00EA1E40">
        <w:t xml:space="preserve">середньомісячне </w:t>
      </w:r>
      <w:r w:rsidR="00364A84" w:rsidRPr="00A72713">
        <w:t xml:space="preserve">надходження </w:t>
      </w:r>
      <w:r w:rsidR="00EA1E40">
        <w:t xml:space="preserve">на суддю </w:t>
      </w:r>
      <w:r w:rsidR="00364A84" w:rsidRPr="00A72713">
        <w:t>справ та матеріалів</w:t>
      </w:r>
      <w:r w:rsidRPr="00A72713">
        <w:t xml:space="preserve"> </w:t>
      </w:r>
      <w:r w:rsidR="00937644" w:rsidRPr="00A72713">
        <w:t xml:space="preserve">кримінального судочинства </w:t>
      </w:r>
      <w:r w:rsidRPr="00A72713">
        <w:t xml:space="preserve">– на </w:t>
      </w:r>
      <w:r w:rsidR="008B0438" w:rsidRPr="00A72713">
        <w:t>1,03</w:t>
      </w:r>
      <w:r w:rsidR="005E59CF" w:rsidRPr="00A72713">
        <w:t>%</w:t>
      </w:r>
      <w:r w:rsidRPr="00A72713">
        <w:t xml:space="preserve"> </w:t>
      </w:r>
      <w:r w:rsidR="005E59CF" w:rsidRPr="00A72713">
        <w:t xml:space="preserve">та </w:t>
      </w:r>
      <w:r w:rsidR="00B22A62" w:rsidRPr="00A72713">
        <w:t xml:space="preserve">справ і матеріалів </w:t>
      </w:r>
      <w:r w:rsidR="008B0438" w:rsidRPr="00A72713">
        <w:t>про адміністративні правопорушення</w:t>
      </w:r>
      <w:r w:rsidR="00B22A62" w:rsidRPr="00A72713">
        <w:t xml:space="preserve"> на </w:t>
      </w:r>
      <w:r w:rsidR="008B0438" w:rsidRPr="00A72713">
        <w:t>0,61</w:t>
      </w:r>
      <w:r w:rsidR="00B22A62" w:rsidRPr="00A72713">
        <w:t xml:space="preserve">%, </w:t>
      </w:r>
      <w:r w:rsidR="00F41F59" w:rsidRPr="00A72713">
        <w:t>зменшилось</w:t>
      </w:r>
      <w:r w:rsidR="008B0438" w:rsidRPr="00A72713">
        <w:t xml:space="preserve"> </w:t>
      </w:r>
      <w:r w:rsidR="00301320">
        <w:t xml:space="preserve">надходження </w:t>
      </w:r>
      <w:r w:rsidRPr="00A72713">
        <w:t>справ та матеріалів цивільного судочинства</w:t>
      </w:r>
      <w:r w:rsidR="005E59CF" w:rsidRPr="00A72713">
        <w:t xml:space="preserve"> </w:t>
      </w:r>
      <w:r w:rsidRPr="00A72713">
        <w:t xml:space="preserve">– на </w:t>
      </w:r>
      <w:r w:rsidR="008B0438" w:rsidRPr="00A72713">
        <w:t>1,78</w:t>
      </w:r>
      <w:r w:rsidR="00937644" w:rsidRPr="00A72713">
        <w:t>%, справ та матеріалів про адміністративн</w:t>
      </w:r>
      <w:r w:rsidR="008B0438" w:rsidRPr="00A72713">
        <w:t>е судочинство</w:t>
      </w:r>
      <w:r w:rsidR="00937644" w:rsidRPr="00A72713">
        <w:t xml:space="preserve"> – на </w:t>
      </w:r>
      <w:r w:rsidR="008B0438" w:rsidRPr="00A72713">
        <w:t>0,23</w:t>
      </w:r>
      <w:r w:rsidR="00937644" w:rsidRPr="00A72713">
        <w:t>%.</w:t>
      </w:r>
    </w:p>
    <w:p w:rsidR="00A11657" w:rsidRDefault="00A11657" w:rsidP="009E1A98">
      <w:pPr>
        <w:jc w:val="center"/>
        <w:rPr>
          <w:b/>
          <w:szCs w:val="28"/>
        </w:rPr>
      </w:pPr>
    </w:p>
    <w:p w:rsidR="009E1A98" w:rsidRDefault="009E1A98" w:rsidP="009E1A98">
      <w:pPr>
        <w:jc w:val="center"/>
        <w:rPr>
          <w:b/>
          <w:szCs w:val="28"/>
        </w:rPr>
      </w:pPr>
      <w:r w:rsidRPr="009E1A98">
        <w:rPr>
          <w:b/>
          <w:szCs w:val="28"/>
        </w:rPr>
        <w:t xml:space="preserve">Коливання показника середньомісячного надходження </w:t>
      </w:r>
    </w:p>
    <w:p w:rsidR="009E1A98" w:rsidRPr="00175CB8" w:rsidRDefault="009E1A98" w:rsidP="00175CB8">
      <w:pPr>
        <w:jc w:val="center"/>
        <w:rPr>
          <w:b/>
          <w:szCs w:val="28"/>
        </w:rPr>
      </w:pPr>
      <w:r w:rsidRPr="009E1A98">
        <w:rPr>
          <w:b/>
          <w:szCs w:val="28"/>
        </w:rPr>
        <w:t>справ та матеріалів на одного суддю</w:t>
      </w:r>
      <w:r w:rsidR="00305FAE">
        <w:rPr>
          <w:b/>
          <w:szCs w:val="28"/>
        </w:rPr>
        <w:t>,</w:t>
      </w:r>
      <w:r w:rsidRPr="009E1A98">
        <w:rPr>
          <w:b/>
          <w:szCs w:val="28"/>
        </w:rPr>
        <w:t xml:space="preserve"> місцевого загального суду</w:t>
      </w:r>
      <w:r w:rsidR="00175CB8">
        <w:rPr>
          <w:b/>
          <w:szCs w:val="28"/>
        </w:rPr>
        <w:t xml:space="preserve"> </w:t>
      </w:r>
      <w:r w:rsidRPr="009E1A98">
        <w:rPr>
          <w:b/>
          <w:szCs w:val="28"/>
        </w:rPr>
        <w:t>Він</w:t>
      </w:r>
      <w:r w:rsidR="00175CB8">
        <w:rPr>
          <w:b/>
          <w:szCs w:val="28"/>
        </w:rPr>
        <w:t xml:space="preserve">ницької області </w:t>
      </w:r>
      <w:r w:rsidR="007D457D" w:rsidRPr="007D457D">
        <w:rPr>
          <w:b/>
          <w:szCs w:val="28"/>
        </w:rPr>
        <w:t xml:space="preserve">за штатом </w:t>
      </w:r>
      <w:r w:rsidR="00A72713">
        <w:rPr>
          <w:b/>
          <w:szCs w:val="28"/>
        </w:rPr>
        <w:t>(з 2005 по 2019</w:t>
      </w:r>
      <w:r w:rsidRPr="009E1A98">
        <w:rPr>
          <w:b/>
          <w:szCs w:val="28"/>
        </w:rPr>
        <w:t xml:space="preserve"> рік</w:t>
      </w:r>
      <w:r w:rsidRPr="008F675F">
        <w:rPr>
          <w:rFonts w:ascii="Arial CYR" w:hAnsi="Arial CYR" w:cs="Arial CYR"/>
          <w:b/>
          <w:sz w:val="22"/>
          <w:szCs w:val="22"/>
        </w:rPr>
        <w:t>)</w:t>
      </w:r>
    </w:p>
    <w:p w:rsidR="00A11657" w:rsidRPr="009E1A98" w:rsidRDefault="00A11657" w:rsidP="009E1A98">
      <w:pPr>
        <w:jc w:val="center"/>
        <w:rPr>
          <w:b/>
          <w:szCs w:val="28"/>
        </w:rPr>
      </w:pPr>
    </w:p>
    <w:p w:rsidR="003A1AD7" w:rsidRDefault="003A1AD7" w:rsidP="00364A84">
      <w:pPr>
        <w:ind w:firstLine="720"/>
        <w:jc w:val="both"/>
      </w:pPr>
    </w:p>
    <w:p w:rsidR="009E1A98" w:rsidRPr="009E1A98" w:rsidRDefault="00856422" w:rsidP="00A611D4">
      <w:pPr>
        <w:jc w:val="both"/>
      </w:pPr>
      <w:r>
        <w:rPr>
          <w:noProof/>
          <w:lang w:val="ru-RU"/>
        </w:rPr>
        <w:drawing>
          <wp:inline distT="0" distB="0" distL="0" distR="0">
            <wp:extent cx="6273165" cy="4673600"/>
            <wp:effectExtent l="0" t="0" r="13335" b="1270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1E8B" w:rsidRDefault="00D91E8B" w:rsidP="00F41F59">
      <w:pPr>
        <w:jc w:val="both"/>
        <w:rPr>
          <w:lang w:val="ru-RU"/>
        </w:rPr>
      </w:pPr>
    </w:p>
    <w:p w:rsidR="00D04B97" w:rsidRPr="00ED04E8" w:rsidRDefault="00D04B97" w:rsidP="00F41F59">
      <w:pPr>
        <w:jc w:val="both"/>
      </w:pPr>
    </w:p>
    <w:p w:rsidR="00505BA7" w:rsidRPr="00505BA7" w:rsidRDefault="00505BA7" w:rsidP="00505BA7">
      <w:pPr>
        <w:ind w:firstLine="708"/>
        <w:jc w:val="center"/>
        <w:rPr>
          <w:b/>
          <w:sz w:val="32"/>
          <w:szCs w:val="32"/>
        </w:rPr>
      </w:pPr>
      <w:r w:rsidRPr="00505BA7">
        <w:rPr>
          <w:b/>
          <w:sz w:val="32"/>
          <w:szCs w:val="32"/>
        </w:rPr>
        <w:lastRenderedPageBreak/>
        <w:t>АДМІНІСТРАТИВНЕ СУДОЧИНСТВО</w:t>
      </w:r>
    </w:p>
    <w:p w:rsidR="00505BA7" w:rsidRPr="00505BA7" w:rsidRDefault="00505BA7" w:rsidP="00505BA7">
      <w:pPr>
        <w:ind w:firstLine="708"/>
        <w:jc w:val="center"/>
        <w:rPr>
          <w:b/>
          <w:sz w:val="32"/>
          <w:szCs w:val="32"/>
        </w:rPr>
      </w:pPr>
    </w:p>
    <w:p w:rsidR="00505BA7" w:rsidRPr="00505BA7" w:rsidRDefault="00505BA7" w:rsidP="00505BA7">
      <w:pPr>
        <w:ind w:firstLine="708"/>
        <w:jc w:val="both"/>
        <w:rPr>
          <w:szCs w:val="28"/>
        </w:rPr>
      </w:pPr>
      <w:r w:rsidRPr="00505BA7">
        <w:rPr>
          <w:szCs w:val="28"/>
        </w:rPr>
        <w:t xml:space="preserve">У 2019 році на розгляд до місцевих загальних судів Вінницької області надійшло </w:t>
      </w:r>
      <w:r w:rsidR="002A1EFD">
        <w:rPr>
          <w:szCs w:val="28"/>
          <w:lang w:val="ru-RU"/>
        </w:rPr>
        <w:t>1087</w:t>
      </w:r>
      <w:r w:rsidRPr="00505BA7">
        <w:rPr>
          <w:szCs w:val="28"/>
        </w:rPr>
        <w:t xml:space="preserve"> справ адміністративного судочинства. Враховуючи залишок позовних заяв на початок звітного періоду, відкрито провадження у 1071 позовн</w:t>
      </w:r>
      <w:r w:rsidR="00D41DE1">
        <w:rPr>
          <w:szCs w:val="28"/>
        </w:rPr>
        <w:t>ій</w:t>
      </w:r>
      <w:r w:rsidRPr="00505BA7">
        <w:rPr>
          <w:szCs w:val="28"/>
        </w:rPr>
        <w:t xml:space="preserve"> заяв</w:t>
      </w:r>
      <w:r w:rsidR="00D41DE1">
        <w:rPr>
          <w:szCs w:val="28"/>
        </w:rPr>
        <w:t>і</w:t>
      </w:r>
      <w:r w:rsidRPr="00505BA7">
        <w:rPr>
          <w:szCs w:val="28"/>
        </w:rPr>
        <w:t xml:space="preserve">, що на 14,47% більше ніж у 2018 році. Усього в провадженні місцевих загальних судів області перебувало 1258 справ, що на 9,89% менше порівняно із 2018 роком – 1396 справ. </w:t>
      </w:r>
    </w:p>
    <w:p w:rsidR="00505BA7" w:rsidRPr="00505BA7" w:rsidRDefault="00505BA7" w:rsidP="00505BA7">
      <w:pPr>
        <w:ind w:firstLine="708"/>
        <w:jc w:val="both"/>
        <w:rPr>
          <w:szCs w:val="28"/>
        </w:rPr>
      </w:pPr>
      <w:r w:rsidRPr="00505BA7">
        <w:rPr>
          <w:szCs w:val="28"/>
        </w:rPr>
        <w:t>Найбільший відсоток справ, що перебували в провадженні, становлять:</w:t>
      </w:r>
    </w:p>
    <w:p w:rsidR="00505BA7" w:rsidRPr="00505BA7" w:rsidRDefault="00505BA7" w:rsidP="00505BA7">
      <w:pPr>
        <w:ind w:firstLine="708"/>
        <w:jc w:val="both"/>
        <w:rPr>
          <w:szCs w:val="28"/>
        </w:rPr>
      </w:pPr>
      <w:r w:rsidRPr="00505BA7">
        <w:rPr>
          <w:szCs w:val="28"/>
        </w:rPr>
        <w:t>«</w:t>
      </w:r>
      <w:r w:rsidRPr="00505BA7">
        <w:rPr>
          <w:b/>
          <w:szCs w:val="28"/>
        </w:rPr>
        <w:t xml:space="preserve">Справи зі спорів з приводу забезпечення громадського порядку та безпеки, національної безпеки та оборони України» - </w:t>
      </w:r>
      <w:r w:rsidRPr="00505BA7">
        <w:rPr>
          <w:b/>
          <w:szCs w:val="28"/>
          <w:lang w:val="ru-RU"/>
        </w:rPr>
        <w:t>73,77</w:t>
      </w:r>
      <w:r w:rsidRPr="00505BA7">
        <w:rPr>
          <w:b/>
          <w:szCs w:val="28"/>
        </w:rPr>
        <w:t>%</w:t>
      </w:r>
      <w:r w:rsidRPr="00505BA7">
        <w:rPr>
          <w:szCs w:val="28"/>
        </w:rPr>
        <w:t xml:space="preserve">, із них: </w:t>
      </w:r>
    </w:p>
    <w:p w:rsidR="00505BA7" w:rsidRPr="00505BA7" w:rsidRDefault="00D41DE1" w:rsidP="00D41DE1">
      <w:pPr>
        <w:ind w:firstLine="708"/>
        <w:jc w:val="both"/>
        <w:rPr>
          <w:szCs w:val="28"/>
        </w:rPr>
      </w:pPr>
      <w:r>
        <w:rPr>
          <w:szCs w:val="28"/>
        </w:rPr>
        <w:t xml:space="preserve">- 96,44% - </w:t>
      </w:r>
      <w:r w:rsidR="00505BA7" w:rsidRPr="00505BA7">
        <w:rPr>
          <w:szCs w:val="28"/>
        </w:rPr>
        <w:t xml:space="preserve"> справи щодо «дорожнього руху; транспорту та перевезення пасажирів»;</w:t>
      </w:r>
    </w:p>
    <w:p w:rsidR="00505BA7" w:rsidRPr="00505BA7" w:rsidRDefault="00505BA7" w:rsidP="00505BA7">
      <w:pPr>
        <w:ind w:firstLine="708"/>
        <w:jc w:val="both"/>
        <w:rPr>
          <w:szCs w:val="28"/>
        </w:rPr>
      </w:pPr>
      <w:r w:rsidRPr="00505BA7">
        <w:rPr>
          <w:szCs w:val="28"/>
        </w:rPr>
        <w:t>- 1,29% - справи із «</w:t>
      </w:r>
      <w:r w:rsidR="00193483" w:rsidRPr="00193483">
        <w:rPr>
          <w:szCs w:val="28"/>
        </w:rPr>
        <w:t>перебуванням іноземців та осіб без громадянства на території України</w:t>
      </w:r>
      <w:r w:rsidRPr="00505BA7">
        <w:rPr>
          <w:szCs w:val="28"/>
        </w:rPr>
        <w:t xml:space="preserve">»; </w:t>
      </w:r>
    </w:p>
    <w:p w:rsidR="00505BA7" w:rsidRPr="00505BA7" w:rsidRDefault="00505BA7" w:rsidP="00505BA7">
      <w:pPr>
        <w:ind w:firstLine="708"/>
        <w:jc w:val="both"/>
        <w:rPr>
          <w:szCs w:val="28"/>
        </w:rPr>
      </w:pPr>
      <w:r w:rsidRPr="00505BA7">
        <w:rPr>
          <w:b/>
          <w:szCs w:val="28"/>
        </w:rPr>
        <w:t>«Справи щодо виборчого процесу та референдуму» від загальної кількості справ становить – 10,17%</w:t>
      </w:r>
      <w:r w:rsidRPr="00505BA7">
        <w:rPr>
          <w:szCs w:val="28"/>
        </w:rPr>
        <w:t>, із них:</w:t>
      </w:r>
    </w:p>
    <w:p w:rsidR="00505BA7" w:rsidRPr="00505BA7" w:rsidRDefault="00505BA7" w:rsidP="00505BA7">
      <w:pPr>
        <w:ind w:firstLine="708"/>
        <w:jc w:val="both"/>
        <w:rPr>
          <w:szCs w:val="28"/>
        </w:rPr>
      </w:pPr>
      <w:r w:rsidRPr="00505BA7">
        <w:rPr>
          <w:szCs w:val="28"/>
        </w:rPr>
        <w:t>- виборів Президента України – 82,81%;</w:t>
      </w:r>
    </w:p>
    <w:p w:rsidR="00505BA7" w:rsidRPr="00505BA7" w:rsidRDefault="00505BA7" w:rsidP="00505BA7">
      <w:pPr>
        <w:ind w:firstLine="708"/>
        <w:jc w:val="both"/>
        <w:rPr>
          <w:szCs w:val="28"/>
        </w:rPr>
      </w:pPr>
      <w:r w:rsidRPr="00505BA7">
        <w:rPr>
          <w:szCs w:val="28"/>
        </w:rPr>
        <w:t>- виборів народних депутатів України – 16,41%;</w:t>
      </w:r>
    </w:p>
    <w:p w:rsidR="00505BA7" w:rsidRPr="00505BA7" w:rsidRDefault="00505BA7" w:rsidP="00505BA7">
      <w:pPr>
        <w:ind w:firstLine="708"/>
        <w:jc w:val="both"/>
        <w:rPr>
          <w:szCs w:val="28"/>
        </w:rPr>
      </w:pPr>
      <w:r w:rsidRPr="00505BA7">
        <w:rPr>
          <w:b/>
          <w:szCs w:val="28"/>
        </w:rPr>
        <w:t>«Справи з приводу реалізації державної політики у сфері економіки та публічної фінансової політики» – 4,45%,</w:t>
      </w:r>
      <w:r w:rsidRPr="00505BA7">
        <w:rPr>
          <w:szCs w:val="28"/>
        </w:rPr>
        <w:t xml:space="preserve"> із них:</w:t>
      </w:r>
    </w:p>
    <w:p w:rsidR="00505BA7" w:rsidRPr="00505BA7" w:rsidRDefault="00505BA7" w:rsidP="00505BA7">
      <w:pPr>
        <w:ind w:firstLine="708"/>
        <w:jc w:val="both"/>
        <w:rPr>
          <w:szCs w:val="28"/>
        </w:rPr>
      </w:pPr>
      <w:r w:rsidRPr="00505BA7">
        <w:rPr>
          <w:szCs w:val="28"/>
        </w:rPr>
        <w:t xml:space="preserve"> - 75,00% - зокрема щодо митної справи (крім охорони прав на об’єкти інтелектуальної власності); зовнішньоекономічної діяльності; спеціальних заходів щодо демпінгового та іншого імпорту;</w:t>
      </w:r>
    </w:p>
    <w:p w:rsidR="00505BA7" w:rsidRPr="00505BA7" w:rsidRDefault="00505BA7" w:rsidP="00505BA7">
      <w:pPr>
        <w:ind w:firstLine="708"/>
        <w:jc w:val="both"/>
        <w:rPr>
          <w:szCs w:val="28"/>
        </w:rPr>
      </w:pPr>
      <w:r w:rsidRPr="00505BA7">
        <w:rPr>
          <w:szCs w:val="28"/>
        </w:rPr>
        <w:t>- 19,64% - організації господарської діяльності.</w:t>
      </w:r>
    </w:p>
    <w:p w:rsidR="00505BA7" w:rsidRPr="00505BA7" w:rsidRDefault="00505BA7" w:rsidP="00505BA7">
      <w:pPr>
        <w:ind w:firstLine="708"/>
        <w:jc w:val="both"/>
        <w:rPr>
          <w:szCs w:val="28"/>
        </w:rPr>
      </w:pPr>
      <w:r w:rsidRPr="00505BA7">
        <w:rPr>
          <w:b/>
          <w:szCs w:val="28"/>
        </w:rPr>
        <w:t>«Справи з приводу регулюванню містобудівної діяльності та землекористування» - 3,66%;</w:t>
      </w:r>
    </w:p>
    <w:p w:rsidR="00505BA7" w:rsidRPr="00505BA7" w:rsidRDefault="00505BA7" w:rsidP="00505BA7">
      <w:pPr>
        <w:ind w:firstLine="708"/>
        <w:jc w:val="both"/>
        <w:rPr>
          <w:szCs w:val="28"/>
        </w:rPr>
      </w:pPr>
      <w:r w:rsidRPr="00505BA7">
        <w:rPr>
          <w:b/>
          <w:szCs w:val="28"/>
        </w:rPr>
        <w:t>«Справи з приводу охорони навколишнього природного середовища» - 2,46%.</w:t>
      </w:r>
    </w:p>
    <w:p w:rsidR="00505BA7" w:rsidRDefault="00505BA7" w:rsidP="00505BA7">
      <w:pPr>
        <w:ind w:firstLine="708"/>
        <w:jc w:val="both"/>
        <w:rPr>
          <w:b/>
          <w:szCs w:val="28"/>
        </w:rPr>
      </w:pPr>
      <w:r w:rsidRPr="00505BA7">
        <w:rPr>
          <w:b/>
          <w:szCs w:val="28"/>
        </w:rPr>
        <w:t>«Справи щодо захисту політичних (крім виборчих) та громадянських прав» - 2,23%</w:t>
      </w:r>
      <w:r w:rsidR="00193483">
        <w:rPr>
          <w:b/>
          <w:szCs w:val="28"/>
        </w:rPr>
        <w:t>.</w:t>
      </w:r>
    </w:p>
    <w:p w:rsidR="00193483" w:rsidRPr="00505BA7" w:rsidRDefault="00683D22" w:rsidP="00505BA7">
      <w:pPr>
        <w:ind w:firstLine="708"/>
        <w:jc w:val="both"/>
        <w:rPr>
          <w:szCs w:val="28"/>
        </w:rPr>
      </w:pPr>
      <w:r>
        <w:rPr>
          <w:b/>
          <w:szCs w:val="28"/>
        </w:rPr>
        <w:t>«</w:t>
      </w:r>
      <w:r w:rsidRPr="00683D22">
        <w:rPr>
          <w:b/>
          <w:szCs w:val="28"/>
        </w:rPr>
        <w:t>Справи зі спорів з приводу реалізації публічної політики у сферах праці, зайнятості населення та соціального захисту громадян та публічної житлової політики</w:t>
      </w:r>
      <w:r>
        <w:rPr>
          <w:b/>
          <w:szCs w:val="28"/>
        </w:rPr>
        <w:t>» - 1,51%.</w:t>
      </w:r>
    </w:p>
    <w:p w:rsidR="00505BA7" w:rsidRPr="00505BA7" w:rsidRDefault="00505BA7" w:rsidP="00505BA7">
      <w:pPr>
        <w:jc w:val="both"/>
        <w:rPr>
          <w:szCs w:val="28"/>
        </w:rPr>
      </w:pPr>
    </w:p>
    <w:p w:rsidR="00505BA7" w:rsidRPr="00505BA7" w:rsidRDefault="00505BA7" w:rsidP="00505BA7">
      <w:pPr>
        <w:ind w:firstLine="708"/>
        <w:jc w:val="both"/>
        <w:rPr>
          <w:szCs w:val="28"/>
        </w:rPr>
      </w:pPr>
      <w:r w:rsidRPr="00505BA7">
        <w:rPr>
          <w:szCs w:val="28"/>
        </w:rPr>
        <w:t>Найбільше адміністративних справ перебувало в провадженні Вінницького міського суду – 542, Вінницького районного суду – 61, Хмі</w:t>
      </w:r>
      <w:r w:rsidR="00143D66">
        <w:rPr>
          <w:szCs w:val="28"/>
        </w:rPr>
        <w:t xml:space="preserve">льницького міськрайонного суду </w:t>
      </w:r>
      <w:r w:rsidRPr="00505BA7">
        <w:rPr>
          <w:szCs w:val="28"/>
        </w:rPr>
        <w:t xml:space="preserve">- 61, Калинівського районного суду – </w:t>
      </w:r>
      <w:r w:rsidR="00143D66">
        <w:rPr>
          <w:szCs w:val="28"/>
        </w:rPr>
        <w:t xml:space="preserve">60, Літинського районного суду </w:t>
      </w:r>
      <w:r w:rsidRPr="00505BA7">
        <w:rPr>
          <w:szCs w:val="28"/>
        </w:rPr>
        <w:t>– 44, а найменше в Оратівському та Теплицькому районних судах – по 3 справи.</w:t>
      </w:r>
    </w:p>
    <w:p w:rsidR="00505BA7" w:rsidRPr="00505BA7" w:rsidRDefault="00505BA7" w:rsidP="00505BA7">
      <w:pPr>
        <w:ind w:firstLine="708"/>
        <w:jc w:val="both"/>
        <w:rPr>
          <w:szCs w:val="28"/>
        </w:rPr>
      </w:pPr>
    </w:p>
    <w:p w:rsidR="00505BA7" w:rsidRPr="00505BA7" w:rsidRDefault="00505BA7" w:rsidP="00505BA7">
      <w:pPr>
        <w:ind w:firstLine="708"/>
        <w:jc w:val="both"/>
        <w:rPr>
          <w:szCs w:val="28"/>
        </w:rPr>
      </w:pPr>
      <w:r w:rsidRPr="00505BA7">
        <w:rPr>
          <w:szCs w:val="28"/>
        </w:rPr>
        <w:lastRenderedPageBreak/>
        <w:t xml:space="preserve">10,87% від загальної кількості позовних заяв, що перебували на розгляді в місцевих загальних судах Вінницької області, було повернуто у 2019 році. Це на </w:t>
      </w:r>
      <w:r w:rsidR="00010BE2">
        <w:rPr>
          <w:szCs w:val="28"/>
        </w:rPr>
        <w:t>26,44</w:t>
      </w:r>
      <w:r w:rsidRPr="00505BA7">
        <w:rPr>
          <w:szCs w:val="28"/>
        </w:rPr>
        <w:t>% менше ніж в 2018 році.</w:t>
      </w:r>
    </w:p>
    <w:p w:rsidR="00505BA7" w:rsidRPr="00505BA7" w:rsidRDefault="00505BA7" w:rsidP="00505BA7">
      <w:pPr>
        <w:ind w:firstLine="708"/>
        <w:jc w:val="both"/>
        <w:rPr>
          <w:szCs w:val="28"/>
        </w:rPr>
      </w:pPr>
    </w:p>
    <w:p w:rsidR="00505BA7" w:rsidRPr="00505BA7" w:rsidRDefault="00505BA7" w:rsidP="00505BA7">
      <w:pPr>
        <w:ind w:firstLine="708"/>
        <w:jc w:val="both"/>
      </w:pPr>
      <w:r w:rsidRPr="00505BA7">
        <w:rPr>
          <w:szCs w:val="28"/>
        </w:rPr>
        <w:t>Структура адміністративних справ, що знаходились на розгляді місцевих судів у звітному періоді, за категоріями має такий вигляд:</w:t>
      </w:r>
    </w:p>
    <w:p w:rsidR="00505BA7" w:rsidRPr="00505BA7" w:rsidRDefault="00505BA7" w:rsidP="00505BA7">
      <w:pPr>
        <w:tabs>
          <w:tab w:val="left" w:pos="1000"/>
        </w:tabs>
        <w:jc w:val="both"/>
      </w:pPr>
    </w:p>
    <w:p w:rsidR="00505BA7" w:rsidRPr="00505BA7" w:rsidRDefault="00856422" w:rsidP="00505BA7">
      <w:pPr>
        <w:jc w:val="center"/>
      </w:pPr>
      <w:r>
        <w:rPr>
          <w:noProof/>
          <w:lang w:val="ru-RU"/>
        </w:rPr>
        <mc:AlternateContent>
          <mc:Choice Requires="wpc">
            <w:drawing>
              <wp:inline distT="0" distB="0" distL="0" distR="0">
                <wp:extent cx="6740525" cy="3948430"/>
                <wp:effectExtent l="0" t="0" r="3175" b="4445"/>
                <wp:docPr id="48" name="Полотно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37"/>
                        <wps:cNvSpPr>
                          <a:spLocks noChangeArrowheads="1"/>
                        </wps:cNvSpPr>
                        <wps:spPr bwMode="auto">
                          <a:xfrm>
                            <a:off x="140551" y="43871"/>
                            <a:ext cx="6572259" cy="38689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8"/>
                        <wps:cNvSpPr>
                          <a:spLocks noChangeArrowheads="1"/>
                        </wps:cNvSpPr>
                        <wps:spPr bwMode="auto">
                          <a:xfrm>
                            <a:off x="1028730" y="856864"/>
                            <a:ext cx="3156796" cy="1422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39"/>
                        <wps:cNvSpPr>
                          <a:spLocks/>
                        </wps:cNvSpPr>
                        <wps:spPr bwMode="auto">
                          <a:xfrm>
                            <a:off x="2256740" y="909647"/>
                            <a:ext cx="298919" cy="742387"/>
                          </a:xfrm>
                          <a:custGeom>
                            <a:avLst/>
                            <a:gdLst>
                              <a:gd name="T0" fmla="*/ 453 w 453"/>
                              <a:gd name="T1" fmla="*/ 516 h 1083"/>
                              <a:gd name="T2" fmla="*/ 0 w 453"/>
                              <a:gd name="T3" fmla="*/ 0 h 1083"/>
                              <a:gd name="T4" fmla="*/ 0 w 453"/>
                              <a:gd name="T5" fmla="*/ 567 h 1083"/>
                              <a:gd name="T6" fmla="*/ 453 w 453"/>
                              <a:gd name="T7" fmla="*/ 1083 h 1083"/>
                              <a:gd name="T8" fmla="*/ 453 w 453"/>
                              <a:gd name="T9" fmla="*/ 516 h 1083"/>
                            </a:gdLst>
                            <a:ahLst/>
                            <a:cxnLst>
                              <a:cxn ang="0">
                                <a:pos x="T0" y="T1"/>
                              </a:cxn>
                              <a:cxn ang="0">
                                <a:pos x="T2" y="T3"/>
                              </a:cxn>
                              <a:cxn ang="0">
                                <a:pos x="T4" y="T5"/>
                              </a:cxn>
                              <a:cxn ang="0">
                                <a:pos x="T6" y="T7"/>
                              </a:cxn>
                              <a:cxn ang="0">
                                <a:pos x="T8" y="T9"/>
                              </a:cxn>
                            </a:cxnLst>
                            <a:rect l="0" t="0" r="r" b="b"/>
                            <a:pathLst>
                              <a:path w="453" h="1083">
                                <a:moveTo>
                                  <a:pt x="453" y="516"/>
                                </a:moveTo>
                                <a:lnTo>
                                  <a:pt x="0" y="0"/>
                                </a:lnTo>
                                <a:lnTo>
                                  <a:pt x="0" y="567"/>
                                </a:lnTo>
                                <a:lnTo>
                                  <a:pt x="453" y="1083"/>
                                </a:lnTo>
                                <a:lnTo>
                                  <a:pt x="453" y="516"/>
                                </a:lnTo>
                                <a:close/>
                              </a:path>
                            </a:pathLst>
                          </a:custGeom>
                          <a:solidFill>
                            <a:srgbClr val="8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0"/>
                        <wps:cNvSpPr>
                          <a:spLocks/>
                        </wps:cNvSpPr>
                        <wps:spPr bwMode="auto">
                          <a:xfrm>
                            <a:off x="2248821" y="900736"/>
                            <a:ext cx="228313" cy="293390"/>
                          </a:xfrm>
                          <a:custGeom>
                            <a:avLst/>
                            <a:gdLst>
                              <a:gd name="T0" fmla="*/ 0 w 465"/>
                              <a:gd name="T1" fmla="*/ 13 h 529"/>
                              <a:gd name="T2" fmla="*/ 72 w 465"/>
                              <a:gd name="T3" fmla="*/ 13 h 529"/>
                              <a:gd name="T4" fmla="*/ 96 w 465"/>
                              <a:gd name="T5" fmla="*/ 13 h 529"/>
                              <a:gd name="T6" fmla="*/ 167 w 465"/>
                              <a:gd name="T7" fmla="*/ 0 h 529"/>
                              <a:gd name="T8" fmla="*/ 203 w 465"/>
                              <a:gd name="T9" fmla="*/ 0 h 529"/>
                              <a:gd name="T10" fmla="*/ 263 w 465"/>
                              <a:gd name="T11" fmla="*/ 0 h 529"/>
                              <a:gd name="T12" fmla="*/ 298 w 465"/>
                              <a:gd name="T13" fmla="*/ 0 h 529"/>
                              <a:gd name="T14" fmla="*/ 358 w 465"/>
                              <a:gd name="T15" fmla="*/ 0 h 529"/>
                              <a:gd name="T16" fmla="*/ 394 w 465"/>
                              <a:gd name="T17" fmla="*/ 0 h 529"/>
                              <a:gd name="T18" fmla="*/ 465 w 465"/>
                              <a:gd name="T19" fmla="*/ 0 h 529"/>
                              <a:gd name="T20" fmla="*/ 465 w 465"/>
                              <a:gd name="T21" fmla="*/ 529 h 529"/>
                              <a:gd name="T22" fmla="*/ 0 w 465"/>
                              <a:gd name="T23" fmla="*/ 13 h 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65" h="529">
                                <a:moveTo>
                                  <a:pt x="0" y="13"/>
                                </a:moveTo>
                                <a:lnTo>
                                  <a:pt x="72" y="13"/>
                                </a:lnTo>
                                <a:lnTo>
                                  <a:pt x="96" y="13"/>
                                </a:lnTo>
                                <a:lnTo>
                                  <a:pt x="167" y="0"/>
                                </a:lnTo>
                                <a:lnTo>
                                  <a:pt x="203" y="0"/>
                                </a:lnTo>
                                <a:lnTo>
                                  <a:pt x="263" y="0"/>
                                </a:lnTo>
                                <a:lnTo>
                                  <a:pt x="298" y="0"/>
                                </a:lnTo>
                                <a:lnTo>
                                  <a:pt x="358" y="0"/>
                                </a:lnTo>
                                <a:lnTo>
                                  <a:pt x="394" y="0"/>
                                </a:lnTo>
                                <a:lnTo>
                                  <a:pt x="465" y="0"/>
                                </a:lnTo>
                                <a:lnTo>
                                  <a:pt x="465" y="529"/>
                                </a:lnTo>
                                <a:lnTo>
                                  <a:pt x="0" y="13"/>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1"/>
                        <wps:cNvSpPr>
                          <a:spLocks/>
                        </wps:cNvSpPr>
                        <wps:spPr bwMode="auto">
                          <a:xfrm>
                            <a:off x="1855541" y="954204"/>
                            <a:ext cx="621593" cy="706742"/>
                          </a:xfrm>
                          <a:custGeom>
                            <a:avLst/>
                            <a:gdLst>
                              <a:gd name="T0" fmla="*/ 942 w 942"/>
                              <a:gd name="T1" fmla="*/ 464 h 1031"/>
                              <a:gd name="T2" fmla="*/ 0 w 942"/>
                              <a:gd name="T3" fmla="*/ 0 h 1031"/>
                              <a:gd name="T4" fmla="*/ 0 w 942"/>
                              <a:gd name="T5" fmla="*/ 567 h 1031"/>
                              <a:gd name="T6" fmla="*/ 942 w 942"/>
                              <a:gd name="T7" fmla="*/ 1031 h 1031"/>
                              <a:gd name="T8" fmla="*/ 942 w 942"/>
                              <a:gd name="T9" fmla="*/ 464 h 1031"/>
                            </a:gdLst>
                            <a:ahLst/>
                            <a:cxnLst>
                              <a:cxn ang="0">
                                <a:pos x="T0" y="T1"/>
                              </a:cxn>
                              <a:cxn ang="0">
                                <a:pos x="T2" y="T3"/>
                              </a:cxn>
                              <a:cxn ang="0">
                                <a:pos x="T4" y="T5"/>
                              </a:cxn>
                              <a:cxn ang="0">
                                <a:pos x="T6" y="T7"/>
                              </a:cxn>
                              <a:cxn ang="0">
                                <a:pos x="T8" y="T9"/>
                              </a:cxn>
                            </a:cxnLst>
                            <a:rect l="0" t="0" r="r" b="b"/>
                            <a:pathLst>
                              <a:path w="942" h="1031">
                                <a:moveTo>
                                  <a:pt x="942" y="464"/>
                                </a:moveTo>
                                <a:lnTo>
                                  <a:pt x="0" y="0"/>
                                </a:lnTo>
                                <a:lnTo>
                                  <a:pt x="0" y="567"/>
                                </a:lnTo>
                                <a:lnTo>
                                  <a:pt x="942" y="1031"/>
                                </a:lnTo>
                                <a:lnTo>
                                  <a:pt x="942" y="464"/>
                                </a:lnTo>
                                <a:close/>
                              </a:path>
                            </a:pathLst>
                          </a:cu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
                        <wps:cNvSpPr>
                          <a:spLocks/>
                        </wps:cNvSpPr>
                        <wps:spPr bwMode="auto">
                          <a:xfrm>
                            <a:off x="1863460" y="918558"/>
                            <a:ext cx="613675" cy="344802"/>
                          </a:xfrm>
                          <a:custGeom>
                            <a:avLst/>
                            <a:gdLst>
                              <a:gd name="T0" fmla="*/ 0 w 954"/>
                              <a:gd name="T1" fmla="*/ 52 h 516"/>
                              <a:gd name="T2" fmla="*/ 36 w 954"/>
                              <a:gd name="T3" fmla="*/ 52 h 516"/>
                              <a:gd name="T4" fmla="*/ 95 w 954"/>
                              <a:gd name="T5" fmla="*/ 39 h 516"/>
                              <a:gd name="T6" fmla="*/ 119 w 954"/>
                              <a:gd name="T7" fmla="*/ 39 h 516"/>
                              <a:gd name="T8" fmla="*/ 155 w 954"/>
                              <a:gd name="T9" fmla="*/ 39 h 516"/>
                              <a:gd name="T10" fmla="*/ 214 w 954"/>
                              <a:gd name="T11" fmla="*/ 26 h 516"/>
                              <a:gd name="T12" fmla="*/ 238 w 954"/>
                              <a:gd name="T13" fmla="*/ 26 h 516"/>
                              <a:gd name="T14" fmla="*/ 274 w 954"/>
                              <a:gd name="T15" fmla="*/ 26 h 516"/>
                              <a:gd name="T16" fmla="*/ 334 w 954"/>
                              <a:gd name="T17" fmla="*/ 13 h 516"/>
                              <a:gd name="T18" fmla="*/ 370 w 954"/>
                              <a:gd name="T19" fmla="*/ 13 h 516"/>
                              <a:gd name="T20" fmla="*/ 393 w 954"/>
                              <a:gd name="T21" fmla="*/ 13 h 516"/>
                              <a:gd name="T22" fmla="*/ 465 w 954"/>
                              <a:gd name="T23" fmla="*/ 0 h 516"/>
                              <a:gd name="T24" fmla="*/ 489 w 954"/>
                              <a:gd name="T25" fmla="*/ 0 h 516"/>
                              <a:gd name="T26" fmla="*/ 954 w 954"/>
                              <a:gd name="T27" fmla="*/ 516 h 516"/>
                              <a:gd name="T28" fmla="*/ 0 w 954"/>
                              <a:gd name="T29" fmla="*/ 52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54" h="516">
                                <a:moveTo>
                                  <a:pt x="0" y="52"/>
                                </a:moveTo>
                                <a:lnTo>
                                  <a:pt x="36" y="52"/>
                                </a:lnTo>
                                <a:lnTo>
                                  <a:pt x="95" y="39"/>
                                </a:lnTo>
                                <a:lnTo>
                                  <a:pt x="119" y="39"/>
                                </a:lnTo>
                                <a:lnTo>
                                  <a:pt x="155" y="39"/>
                                </a:lnTo>
                                <a:lnTo>
                                  <a:pt x="214" y="26"/>
                                </a:lnTo>
                                <a:lnTo>
                                  <a:pt x="238" y="26"/>
                                </a:lnTo>
                                <a:lnTo>
                                  <a:pt x="274" y="26"/>
                                </a:lnTo>
                                <a:lnTo>
                                  <a:pt x="334" y="13"/>
                                </a:lnTo>
                                <a:lnTo>
                                  <a:pt x="370" y="13"/>
                                </a:lnTo>
                                <a:lnTo>
                                  <a:pt x="393" y="13"/>
                                </a:lnTo>
                                <a:lnTo>
                                  <a:pt x="465" y="0"/>
                                </a:lnTo>
                                <a:lnTo>
                                  <a:pt x="489" y="0"/>
                                </a:lnTo>
                                <a:lnTo>
                                  <a:pt x="954" y="516"/>
                                </a:lnTo>
                                <a:lnTo>
                                  <a:pt x="0" y="52"/>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3"/>
                        <wps:cNvSpPr>
                          <a:spLocks/>
                        </wps:cNvSpPr>
                        <wps:spPr bwMode="auto">
                          <a:xfrm>
                            <a:off x="1485357" y="1033721"/>
                            <a:ext cx="913254" cy="635450"/>
                          </a:xfrm>
                          <a:custGeom>
                            <a:avLst/>
                            <a:gdLst>
                              <a:gd name="T0" fmla="*/ 1384 w 1384"/>
                              <a:gd name="T1" fmla="*/ 360 h 927"/>
                              <a:gd name="T2" fmla="*/ 0 w 1384"/>
                              <a:gd name="T3" fmla="*/ 0 h 927"/>
                              <a:gd name="T4" fmla="*/ 0 w 1384"/>
                              <a:gd name="T5" fmla="*/ 567 h 927"/>
                              <a:gd name="T6" fmla="*/ 1384 w 1384"/>
                              <a:gd name="T7" fmla="*/ 927 h 927"/>
                              <a:gd name="T8" fmla="*/ 1384 w 1384"/>
                              <a:gd name="T9" fmla="*/ 360 h 927"/>
                            </a:gdLst>
                            <a:ahLst/>
                            <a:cxnLst>
                              <a:cxn ang="0">
                                <a:pos x="T0" y="T1"/>
                              </a:cxn>
                              <a:cxn ang="0">
                                <a:pos x="T2" y="T3"/>
                              </a:cxn>
                              <a:cxn ang="0">
                                <a:pos x="T4" y="T5"/>
                              </a:cxn>
                              <a:cxn ang="0">
                                <a:pos x="T6" y="T7"/>
                              </a:cxn>
                              <a:cxn ang="0">
                                <a:pos x="T8" y="T9"/>
                              </a:cxn>
                            </a:cxnLst>
                            <a:rect l="0" t="0" r="r" b="b"/>
                            <a:pathLst>
                              <a:path w="1384" h="927">
                                <a:moveTo>
                                  <a:pt x="1384" y="360"/>
                                </a:moveTo>
                                <a:lnTo>
                                  <a:pt x="0" y="0"/>
                                </a:lnTo>
                                <a:lnTo>
                                  <a:pt x="0" y="567"/>
                                </a:lnTo>
                                <a:lnTo>
                                  <a:pt x="1384" y="927"/>
                                </a:lnTo>
                                <a:lnTo>
                                  <a:pt x="1384" y="360"/>
                                </a:lnTo>
                                <a:close/>
                              </a:path>
                            </a:pathLst>
                          </a:custGeom>
                          <a:solidFill>
                            <a:srgbClr val="1A33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4"/>
                        <wps:cNvSpPr>
                          <a:spLocks/>
                        </wps:cNvSpPr>
                        <wps:spPr bwMode="auto">
                          <a:xfrm>
                            <a:off x="1477439" y="963115"/>
                            <a:ext cx="999696" cy="424319"/>
                          </a:xfrm>
                          <a:custGeom>
                            <a:avLst/>
                            <a:gdLst>
                              <a:gd name="T0" fmla="*/ 0 w 1396"/>
                              <a:gd name="T1" fmla="*/ 103 h 463"/>
                              <a:gd name="T2" fmla="*/ 24 w 1396"/>
                              <a:gd name="T3" fmla="*/ 90 h 463"/>
                              <a:gd name="T4" fmla="*/ 72 w 1396"/>
                              <a:gd name="T5" fmla="*/ 77 h 463"/>
                              <a:gd name="T6" fmla="*/ 96 w 1396"/>
                              <a:gd name="T7" fmla="*/ 77 h 463"/>
                              <a:gd name="T8" fmla="*/ 143 w 1396"/>
                              <a:gd name="T9" fmla="*/ 64 h 463"/>
                              <a:gd name="T10" fmla="*/ 179 w 1396"/>
                              <a:gd name="T11" fmla="*/ 51 h 463"/>
                              <a:gd name="T12" fmla="*/ 227 w 1396"/>
                              <a:gd name="T13" fmla="*/ 51 h 463"/>
                              <a:gd name="T14" fmla="*/ 251 w 1396"/>
                              <a:gd name="T15" fmla="*/ 38 h 463"/>
                              <a:gd name="T16" fmla="*/ 274 w 1396"/>
                              <a:gd name="T17" fmla="*/ 38 h 463"/>
                              <a:gd name="T18" fmla="*/ 334 w 1396"/>
                              <a:gd name="T19" fmla="*/ 25 h 463"/>
                              <a:gd name="T20" fmla="*/ 358 w 1396"/>
                              <a:gd name="T21" fmla="*/ 12 h 463"/>
                              <a:gd name="T22" fmla="*/ 418 w 1396"/>
                              <a:gd name="T23" fmla="*/ 12 h 463"/>
                              <a:gd name="T24" fmla="*/ 441 w 1396"/>
                              <a:gd name="T25" fmla="*/ 0 h 463"/>
                              <a:gd name="T26" fmla="*/ 1396 w 1396"/>
                              <a:gd name="T27" fmla="*/ 463 h 463"/>
                              <a:gd name="T28" fmla="*/ 0 w 1396"/>
                              <a:gd name="T29" fmla="*/ 103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396" h="463">
                                <a:moveTo>
                                  <a:pt x="0" y="103"/>
                                </a:moveTo>
                                <a:lnTo>
                                  <a:pt x="24" y="90"/>
                                </a:lnTo>
                                <a:lnTo>
                                  <a:pt x="72" y="77"/>
                                </a:lnTo>
                                <a:lnTo>
                                  <a:pt x="96" y="77"/>
                                </a:lnTo>
                                <a:lnTo>
                                  <a:pt x="143" y="64"/>
                                </a:lnTo>
                                <a:lnTo>
                                  <a:pt x="179" y="51"/>
                                </a:lnTo>
                                <a:lnTo>
                                  <a:pt x="227" y="51"/>
                                </a:lnTo>
                                <a:lnTo>
                                  <a:pt x="251" y="38"/>
                                </a:lnTo>
                                <a:lnTo>
                                  <a:pt x="274" y="38"/>
                                </a:lnTo>
                                <a:lnTo>
                                  <a:pt x="334" y="25"/>
                                </a:lnTo>
                                <a:lnTo>
                                  <a:pt x="358" y="12"/>
                                </a:lnTo>
                                <a:lnTo>
                                  <a:pt x="418" y="12"/>
                                </a:lnTo>
                                <a:lnTo>
                                  <a:pt x="441" y="0"/>
                                </a:lnTo>
                                <a:lnTo>
                                  <a:pt x="1396" y="463"/>
                                </a:lnTo>
                                <a:lnTo>
                                  <a:pt x="0" y="103"/>
                                </a:lnTo>
                                <a:close/>
                              </a:path>
                            </a:pathLst>
                          </a:cu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5"/>
                        <wps:cNvSpPr>
                          <a:spLocks/>
                        </wps:cNvSpPr>
                        <wps:spPr bwMode="auto">
                          <a:xfrm>
                            <a:off x="1028730" y="1342877"/>
                            <a:ext cx="236232" cy="600490"/>
                          </a:xfrm>
                          <a:custGeom>
                            <a:avLst/>
                            <a:gdLst>
                              <a:gd name="T0" fmla="*/ 358 w 358"/>
                              <a:gd name="T1" fmla="*/ 309 h 876"/>
                              <a:gd name="T2" fmla="*/ 322 w 358"/>
                              <a:gd name="T3" fmla="*/ 296 h 876"/>
                              <a:gd name="T4" fmla="*/ 298 w 358"/>
                              <a:gd name="T5" fmla="*/ 283 h 876"/>
                              <a:gd name="T6" fmla="*/ 263 w 358"/>
                              <a:gd name="T7" fmla="*/ 270 h 876"/>
                              <a:gd name="T8" fmla="*/ 251 w 358"/>
                              <a:gd name="T9" fmla="*/ 257 h 876"/>
                              <a:gd name="T10" fmla="*/ 215 w 358"/>
                              <a:gd name="T11" fmla="*/ 244 h 876"/>
                              <a:gd name="T12" fmla="*/ 203 w 358"/>
                              <a:gd name="T13" fmla="*/ 232 h 876"/>
                              <a:gd name="T14" fmla="*/ 179 w 358"/>
                              <a:gd name="T15" fmla="*/ 219 h 876"/>
                              <a:gd name="T16" fmla="*/ 155 w 358"/>
                              <a:gd name="T17" fmla="*/ 206 h 876"/>
                              <a:gd name="T18" fmla="*/ 131 w 358"/>
                              <a:gd name="T19" fmla="*/ 193 h 876"/>
                              <a:gd name="T20" fmla="*/ 119 w 358"/>
                              <a:gd name="T21" fmla="*/ 180 h 876"/>
                              <a:gd name="T22" fmla="*/ 96 w 358"/>
                              <a:gd name="T23" fmla="*/ 167 h 876"/>
                              <a:gd name="T24" fmla="*/ 96 w 358"/>
                              <a:gd name="T25" fmla="*/ 154 h 876"/>
                              <a:gd name="T26" fmla="*/ 72 w 358"/>
                              <a:gd name="T27" fmla="*/ 141 h 876"/>
                              <a:gd name="T28" fmla="*/ 60 w 358"/>
                              <a:gd name="T29" fmla="*/ 129 h 876"/>
                              <a:gd name="T30" fmla="*/ 48 w 358"/>
                              <a:gd name="T31" fmla="*/ 116 h 876"/>
                              <a:gd name="T32" fmla="*/ 36 w 358"/>
                              <a:gd name="T33" fmla="*/ 103 h 876"/>
                              <a:gd name="T34" fmla="*/ 24 w 358"/>
                              <a:gd name="T35" fmla="*/ 90 h 876"/>
                              <a:gd name="T36" fmla="*/ 24 w 358"/>
                              <a:gd name="T37" fmla="*/ 77 h 876"/>
                              <a:gd name="T38" fmla="*/ 12 w 358"/>
                              <a:gd name="T39" fmla="*/ 64 h 876"/>
                              <a:gd name="T40" fmla="*/ 12 w 358"/>
                              <a:gd name="T41" fmla="*/ 51 h 876"/>
                              <a:gd name="T42" fmla="*/ 0 w 358"/>
                              <a:gd name="T43" fmla="*/ 38 h 876"/>
                              <a:gd name="T44" fmla="*/ 0 w 358"/>
                              <a:gd name="T45" fmla="*/ 25 h 876"/>
                              <a:gd name="T46" fmla="*/ 0 w 358"/>
                              <a:gd name="T47" fmla="*/ 0 h 876"/>
                              <a:gd name="T48" fmla="*/ 0 w 358"/>
                              <a:gd name="T49" fmla="*/ 0 h 876"/>
                              <a:gd name="T50" fmla="*/ 0 w 358"/>
                              <a:gd name="T51" fmla="*/ 567 h 876"/>
                              <a:gd name="T52" fmla="*/ 0 w 358"/>
                              <a:gd name="T53" fmla="*/ 567 h 876"/>
                              <a:gd name="T54" fmla="*/ 0 w 358"/>
                              <a:gd name="T55" fmla="*/ 592 h 876"/>
                              <a:gd name="T56" fmla="*/ 0 w 358"/>
                              <a:gd name="T57" fmla="*/ 605 h 876"/>
                              <a:gd name="T58" fmla="*/ 12 w 358"/>
                              <a:gd name="T59" fmla="*/ 618 h 876"/>
                              <a:gd name="T60" fmla="*/ 12 w 358"/>
                              <a:gd name="T61" fmla="*/ 631 h 876"/>
                              <a:gd name="T62" fmla="*/ 24 w 358"/>
                              <a:gd name="T63" fmla="*/ 644 h 876"/>
                              <a:gd name="T64" fmla="*/ 24 w 358"/>
                              <a:gd name="T65" fmla="*/ 657 h 876"/>
                              <a:gd name="T66" fmla="*/ 36 w 358"/>
                              <a:gd name="T67" fmla="*/ 670 h 876"/>
                              <a:gd name="T68" fmla="*/ 48 w 358"/>
                              <a:gd name="T69" fmla="*/ 683 h 876"/>
                              <a:gd name="T70" fmla="*/ 60 w 358"/>
                              <a:gd name="T71" fmla="*/ 695 h 876"/>
                              <a:gd name="T72" fmla="*/ 72 w 358"/>
                              <a:gd name="T73" fmla="*/ 708 h 876"/>
                              <a:gd name="T74" fmla="*/ 96 w 358"/>
                              <a:gd name="T75" fmla="*/ 721 h 876"/>
                              <a:gd name="T76" fmla="*/ 96 w 358"/>
                              <a:gd name="T77" fmla="*/ 734 h 876"/>
                              <a:gd name="T78" fmla="*/ 119 w 358"/>
                              <a:gd name="T79" fmla="*/ 747 h 876"/>
                              <a:gd name="T80" fmla="*/ 131 w 358"/>
                              <a:gd name="T81" fmla="*/ 760 h 876"/>
                              <a:gd name="T82" fmla="*/ 155 w 358"/>
                              <a:gd name="T83" fmla="*/ 773 h 876"/>
                              <a:gd name="T84" fmla="*/ 179 w 358"/>
                              <a:gd name="T85" fmla="*/ 786 h 876"/>
                              <a:gd name="T86" fmla="*/ 203 w 358"/>
                              <a:gd name="T87" fmla="*/ 799 h 876"/>
                              <a:gd name="T88" fmla="*/ 215 w 358"/>
                              <a:gd name="T89" fmla="*/ 811 h 876"/>
                              <a:gd name="T90" fmla="*/ 251 w 358"/>
                              <a:gd name="T91" fmla="*/ 824 h 876"/>
                              <a:gd name="T92" fmla="*/ 263 w 358"/>
                              <a:gd name="T93" fmla="*/ 837 h 876"/>
                              <a:gd name="T94" fmla="*/ 298 w 358"/>
                              <a:gd name="T95" fmla="*/ 850 h 876"/>
                              <a:gd name="T96" fmla="*/ 322 w 358"/>
                              <a:gd name="T97" fmla="*/ 863 h 876"/>
                              <a:gd name="T98" fmla="*/ 358 w 358"/>
                              <a:gd name="T99" fmla="*/ 876 h 876"/>
                              <a:gd name="T100" fmla="*/ 358 w 358"/>
                              <a:gd name="T101" fmla="*/ 309 h 8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58" h="876">
                                <a:moveTo>
                                  <a:pt x="358" y="309"/>
                                </a:moveTo>
                                <a:lnTo>
                                  <a:pt x="322" y="296"/>
                                </a:lnTo>
                                <a:lnTo>
                                  <a:pt x="298" y="283"/>
                                </a:lnTo>
                                <a:lnTo>
                                  <a:pt x="263" y="270"/>
                                </a:lnTo>
                                <a:lnTo>
                                  <a:pt x="251" y="257"/>
                                </a:lnTo>
                                <a:lnTo>
                                  <a:pt x="215" y="244"/>
                                </a:lnTo>
                                <a:lnTo>
                                  <a:pt x="203" y="232"/>
                                </a:lnTo>
                                <a:lnTo>
                                  <a:pt x="179" y="219"/>
                                </a:lnTo>
                                <a:lnTo>
                                  <a:pt x="155" y="206"/>
                                </a:lnTo>
                                <a:lnTo>
                                  <a:pt x="131" y="193"/>
                                </a:lnTo>
                                <a:lnTo>
                                  <a:pt x="119" y="180"/>
                                </a:lnTo>
                                <a:lnTo>
                                  <a:pt x="96" y="167"/>
                                </a:lnTo>
                                <a:lnTo>
                                  <a:pt x="96" y="154"/>
                                </a:lnTo>
                                <a:lnTo>
                                  <a:pt x="72" y="141"/>
                                </a:lnTo>
                                <a:lnTo>
                                  <a:pt x="60" y="129"/>
                                </a:lnTo>
                                <a:lnTo>
                                  <a:pt x="48" y="116"/>
                                </a:lnTo>
                                <a:lnTo>
                                  <a:pt x="36" y="103"/>
                                </a:lnTo>
                                <a:lnTo>
                                  <a:pt x="24" y="90"/>
                                </a:lnTo>
                                <a:lnTo>
                                  <a:pt x="24" y="77"/>
                                </a:lnTo>
                                <a:lnTo>
                                  <a:pt x="12" y="64"/>
                                </a:lnTo>
                                <a:lnTo>
                                  <a:pt x="12" y="51"/>
                                </a:lnTo>
                                <a:lnTo>
                                  <a:pt x="0" y="38"/>
                                </a:lnTo>
                                <a:lnTo>
                                  <a:pt x="0" y="25"/>
                                </a:lnTo>
                                <a:lnTo>
                                  <a:pt x="0" y="0"/>
                                </a:lnTo>
                                <a:lnTo>
                                  <a:pt x="0" y="0"/>
                                </a:lnTo>
                                <a:lnTo>
                                  <a:pt x="0" y="567"/>
                                </a:lnTo>
                                <a:lnTo>
                                  <a:pt x="0" y="567"/>
                                </a:lnTo>
                                <a:lnTo>
                                  <a:pt x="0" y="592"/>
                                </a:lnTo>
                                <a:lnTo>
                                  <a:pt x="0" y="605"/>
                                </a:lnTo>
                                <a:lnTo>
                                  <a:pt x="12" y="618"/>
                                </a:lnTo>
                                <a:lnTo>
                                  <a:pt x="12" y="631"/>
                                </a:lnTo>
                                <a:lnTo>
                                  <a:pt x="24" y="644"/>
                                </a:lnTo>
                                <a:lnTo>
                                  <a:pt x="24" y="657"/>
                                </a:lnTo>
                                <a:lnTo>
                                  <a:pt x="36" y="670"/>
                                </a:lnTo>
                                <a:lnTo>
                                  <a:pt x="48" y="683"/>
                                </a:lnTo>
                                <a:lnTo>
                                  <a:pt x="60" y="695"/>
                                </a:lnTo>
                                <a:lnTo>
                                  <a:pt x="72" y="708"/>
                                </a:lnTo>
                                <a:lnTo>
                                  <a:pt x="96" y="721"/>
                                </a:lnTo>
                                <a:lnTo>
                                  <a:pt x="96" y="734"/>
                                </a:lnTo>
                                <a:lnTo>
                                  <a:pt x="119" y="747"/>
                                </a:lnTo>
                                <a:lnTo>
                                  <a:pt x="131" y="760"/>
                                </a:lnTo>
                                <a:lnTo>
                                  <a:pt x="155" y="773"/>
                                </a:lnTo>
                                <a:lnTo>
                                  <a:pt x="179" y="786"/>
                                </a:lnTo>
                                <a:lnTo>
                                  <a:pt x="203" y="799"/>
                                </a:lnTo>
                                <a:lnTo>
                                  <a:pt x="215" y="811"/>
                                </a:lnTo>
                                <a:lnTo>
                                  <a:pt x="251" y="824"/>
                                </a:lnTo>
                                <a:lnTo>
                                  <a:pt x="263" y="837"/>
                                </a:lnTo>
                                <a:lnTo>
                                  <a:pt x="298" y="850"/>
                                </a:lnTo>
                                <a:lnTo>
                                  <a:pt x="322" y="863"/>
                                </a:lnTo>
                                <a:lnTo>
                                  <a:pt x="358" y="876"/>
                                </a:lnTo>
                                <a:lnTo>
                                  <a:pt x="358" y="309"/>
                                </a:lnTo>
                                <a:close/>
                              </a:path>
                            </a:pathLst>
                          </a:custGeom>
                          <a:solidFill>
                            <a:srgbClr val="80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6"/>
                        <wps:cNvSpPr>
                          <a:spLocks/>
                        </wps:cNvSpPr>
                        <wps:spPr bwMode="auto">
                          <a:xfrm>
                            <a:off x="1272880" y="1342877"/>
                            <a:ext cx="1007614" cy="600490"/>
                          </a:xfrm>
                          <a:custGeom>
                            <a:avLst/>
                            <a:gdLst>
                              <a:gd name="T0" fmla="*/ 1527 w 1527"/>
                              <a:gd name="T1" fmla="*/ 0 h 876"/>
                              <a:gd name="T2" fmla="*/ 0 w 1527"/>
                              <a:gd name="T3" fmla="*/ 309 h 876"/>
                              <a:gd name="T4" fmla="*/ 0 w 1527"/>
                              <a:gd name="T5" fmla="*/ 876 h 876"/>
                              <a:gd name="T6" fmla="*/ 1527 w 1527"/>
                              <a:gd name="T7" fmla="*/ 567 h 876"/>
                              <a:gd name="T8" fmla="*/ 1527 w 1527"/>
                              <a:gd name="T9" fmla="*/ 0 h 876"/>
                            </a:gdLst>
                            <a:ahLst/>
                            <a:cxnLst>
                              <a:cxn ang="0">
                                <a:pos x="T0" y="T1"/>
                              </a:cxn>
                              <a:cxn ang="0">
                                <a:pos x="T2" y="T3"/>
                              </a:cxn>
                              <a:cxn ang="0">
                                <a:pos x="T4" y="T5"/>
                              </a:cxn>
                              <a:cxn ang="0">
                                <a:pos x="T6" y="T7"/>
                              </a:cxn>
                              <a:cxn ang="0">
                                <a:pos x="T8" y="T9"/>
                              </a:cxn>
                            </a:cxnLst>
                            <a:rect l="0" t="0" r="r" b="b"/>
                            <a:pathLst>
                              <a:path w="1527" h="876">
                                <a:moveTo>
                                  <a:pt x="1527" y="0"/>
                                </a:moveTo>
                                <a:lnTo>
                                  <a:pt x="0" y="309"/>
                                </a:lnTo>
                                <a:lnTo>
                                  <a:pt x="0" y="876"/>
                                </a:lnTo>
                                <a:lnTo>
                                  <a:pt x="1527" y="567"/>
                                </a:lnTo>
                                <a:lnTo>
                                  <a:pt x="1527" y="0"/>
                                </a:lnTo>
                                <a:close/>
                              </a:path>
                            </a:pathLst>
                          </a:custGeom>
                          <a:solidFill>
                            <a:srgbClr val="804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7"/>
                        <wps:cNvSpPr>
                          <a:spLocks/>
                        </wps:cNvSpPr>
                        <wps:spPr bwMode="auto">
                          <a:xfrm>
                            <a:off x="1028730" y="1095415"/>
                            <a:ext cx="1251765" cy="468191"/>
                          </a:xfrm>
                          <a:custGeom>
                            <a:avLst/>
                            <a:gdLst>
                              <a:gd name="T0" fmla="*/ 358 w 1897"/>
                              <a:gd name="T1" fmla="*/ 683 h 683"/>
                              <a:gd name="T2" fmla="*/ 322 w 1897"/>
                              <a:gd name="T3" fmla="*/ 657 h 683"/>
                              <a:gd name="T4" fmla="*/ 298 w 1897"/>
                              <a:gd name="T5" fmla="*/ 657 h 683"/>
                              <a:gd name="T6" fmla="*/ 263 w 1897"/>
                              <a:gd name="T7" fmla="*/ 644 h 683"/>
                              <a:gd name="T8" fmla="*/ 239 w 1897"/>
                              <a:gd name="T9" fmla="*/ 618 h 683"/>
                              <a:gd name="T10" fmla="*/ 215 w 1897"/>
                              <a:gd name="T11" fmla="*/ 618 h 683"/>
                              <a:gd name="T12" fmla="*/ 191 w 1897"/>
                              <a:gd name="T13" fmla="*/ 593 h 683"/>
                              <a:gd name="T14" fmla="*/ 155 w 1897"/>
                              <a:gd name="T15" fmla="*/ 580 h 683"/>
                              <a:gd name="T16" fmla="*/ 143 w 1897"/>
                              <a:gd name="T17" fmla="*/ 567 h 683"/>
                              <a:gd name="T18" fmla="*/ 119 w 1897"/>
                              <a:gd name="T19" fmla="*/ 554 h 683"/>
                              <a:gd name="T20" fmla="*/ 108 w 1897"/>
                              <a:gd name="T21" fmla="*/ 541 h 683"/>
                              <a:gd name="T22" fmla="*/ 96 w 1897"/>
                              <a:gd name="T23" fmla="*/ 528 h 683"/>
                              <a:gd name="T24" fmla="*/ 72 w 1897"/>
                              <a:gd name="T25" fmla="*/ 515 h 683"/>
                              <a:gd name="T26" fmla="*/ 60 w 1897"/>
                              <a:gd name="T27" fmla="*/ 502 h 683"/>
                              <a:gd name="T28" fmla="*/ 48 w 1897"/>
                              <a:gd name="T29" fmla="*/ 490 h 683"/>
                              <a:gd name="T30" fmla="*/ 36 w 1897"/>
                              <a:gd name="T31" fmla="*/ 464 h 683"/>
                              <a:gd name="T32" fmla="*/ 24 w 1897"/>
                              <a:gd name="T33" fmla="*/ 451 h 683"/>
                              <a:gd name="T34" fmla="*/ 12 w 1897"/>
                              <a:gd name="T35" fmla="*/ 438 h 683"/>
                              <a:gd name="T36" fmla="*/ 12 w 1897"/>
                              <a:gd name="T37" fmla="*/ 425 h 683"/>
                              <a:gd name="T38" fmla="*/ 0 w 1897"/>
                              <a:gd name="T39" fmla="*/ 412 h 683"/>
                              <a:gd name="T40" fmla="*/ 0 w 1897"/>
                              <a:gd name="T41" fmla="*/ 386 h 683"/>
                              <a:gd name="T42" fmla="*/ 0 w 1897"/>
                              <a:gd name="T43" fmla="*/ 374 h 683"/>
                              <a:gd name="T44" fmla="*/ 0 w 1897"/>
                              <a:gd name="T45" fmla="*/ 361 h 683"/>
                              <a:gd name="T46" fmla="*/ 0 w 1897"/>
                              <a:gd name="T47" fmla="*/ 348 h 683"/>
                              <a:gd name="T48" fmla="*/ 0 w 1897"/>
                              <a:gd name="T49" fmla="*/ 322 h 683"/>
                              <a:gd name="T50" fmla="*/ 0 w 1897"/>
                              <a:gd name="T51" fmla="*/ 322 h 683"/>
                              <a:gd name="T52" fmla="*/ 12 w 1897"/>
                              <a:gd name="T53" fmla="*/ 296 h 683"/>
                              <a:gd name="T54" fmla="*/ 12 w 1897"/>
                              <a:gd name="T55" fmla="*/ 283 h 683"/>
                              <a:gd name="T56" fmla="*/ 24 w 1897"/>
                              <a:gd name="T57" fmla="*/ 270 h 683"/>
                              <a:gd name="T58" fmla="*/ 36 w 1897"/>
                              <a:gd name="T59" fmla="*/ 258 h 683"/>
                              <a:gd name="T60" fmla="*/ 48 w 1897"/>
                              <a:gd name="T61" fmla="*/ 245 h 683"/>
                              <a:gd name="T62" fmla="*/ 60 w 1897"/>
                              <a:gd name="T63" fmla="*/ 232 h 683"/>
                              <a:gd name="T64" fmla="*/ 84 w 1897"/>
                              <a:gd name="T65" fmla="*/ 206 h 683"/>
                              <a:gd name="T66" fmla="*/ 96 w 1897"/>
                              <a:gd name="T67" fmla="*/ 193 h 683"/>
                              <a:gd name="T68" fmla="*/ 108 w 1897"/>
                              <a:gd name="T69" fmla="*/ 180 h 683"/>
                              <a:gd name="T70" fmla="*/ 131 w 1897"/>
                              <a:gd name="T71" fmla="*/ 167 h 683"/>
                              <a:gd name="T72" fmla="*/ 143 w 1897"/>
                              <a:gd name="T73" fmla="*/ 154 h 683"/>
                              <a:gd name="T74" fmla="*/ 179 w 1897"/>
                              <a:gd name="T75" fmla="*/ 142 h 683"/>
                              <a:gd name="T76" fmla="*/ 203 w 1897"/>
                              <a:gd name="T77" fmla="*/ 116 h 683"/>
                              <a:gd name="T78" fmla="*/ 215 w 1897"/>
                              <a:gd name="T79" fmla="*/ 116 h 683"/>
                              <a:gd name="T80" fmla="*/ 251 w 1897"/>
                              <a:gd name="T81" fmla="*/ 90 h 683"/>
                              <a:gd name="T82" fmla="*/ 263 w 1897"/>
                              <a:gd name="T83" fmla="*/ 90 h 683"/>
                              <a:gd name="T84" fmla="*/ 298 w 1897"/>
                              <a:gd name="T85" fmla="*/ 77 h 683"/>
                              <a:gd name="T86" fmla="*/ 346 w 1897"/>
                              <a:gd name="T87" fmla="*/ 51 h 683"/>
                              <a:gd name="T88" fmla="*/ 358 w 1897"/>
                              <a:gd name="T89" fmla="*/ 51 h 683"/>
                              <a:gd name="T90" fmla="*/ 394 w 1897"/>
                              <a:gd name="T91" fmla="*/ 39 h 683"/>
                              <a:gd name="T92" fmla="*/ 442 w 1897"/>
                              <a:gd name="T93" fmla="*/ 26 h 683"/>
                              <a:gd name="T94" fmla="*/ 465 w 1897"/>
                              <a:gd name="T95" fmla="*/ 13 h 683"/>
                              <a:gd name="T96" fmla="*/ 501 w 1897"/>
                              <a:gd name="T97" fmla="*/ 0 h 683"/>
                              <a:gd name="T98" fmla="*/ 1897 w 1897"/>
                              <a:gd name="T99" fmla="*/ 361 h 683"/>
                              <a:gd name="T100" fmla="*/ 358 w 1897"/>
                              <a:gd name="T101" fmla="*/ 683 h 6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897" h="683">
                                <a:moveTo>
                                  <a:pt x="358" y="683"/>
                                </a:moveTo>
                                <a:lnTo>
                                  <a:pt x="322" y="657"/>
                                </a:lnTo>
                                <a:lnTo>
                                  <a:pt x="298" y="657"/>
                                </a:lnTo>
                                <a:lnTo>
                                  <a:pt x="263" y="644"/>
                                </a:lnTo>
                                <a:lnTo>
                                  <a:pt x="239" y="618"/>
                                </a:lnTo>
                                <a:lnTo>
                                  <a:pt x="215" y="618"/>
                                </a:lnTo>
                                <a:lnTo>
                                  <a:pt x="191" y="593"/>
                                </a:lnTo>
                                <a:lnTo>
                                  <a:pt x="155" y="580"/>
                                </a:lnTo>
                                <a:lnTo>
                                  <a:pt x="143" y="567"/>
                                </a:lnTo>
                                <a:lnTo>
                                  <a:pt x="119" y="554"/>
                                </a:lnTo>
                                <a:lnTo>
                                  <a:pt x="108" y="541"/>
                                </a:lnTo>
                                <a:lnTo>
                                  <a:pt x="96" y="528"/>
                                </a:lnTo>
                                <a:lnTo>
                                  <a:pt x="72" y="515"/>
                                </a:lnTo>
                                <a:lnTo>
                                  <a:pt x="60" y="502"/>
                                </a:lnTo>
                                <a:lnTo>
                                  <a:pt x="48" y="490"/>
                                </a:lnTo>
                                <a:lnTo>
                                  <a:pt x="36" y="464"/>
                                </a:lnTo>
                                <a:lnTo>
                                  <a:pt x="24" y="451"/>
                                </a:lnTo>
                                <a:lnTo>
                                  <a:pt x="12" y="438"/>
                                </a:lnTo>
                                <a:lnTo>
                                  <a:pt x="12" y="425"/>
                                </a:lnTo>
                                <a:lnTo>
                                  <a:pt x="0" y="412"/>
                                </a:lnTo>
                                <a:lnTo>
                                  <a:pt x="0" y="386"/>
                                </a:lnTo>
                                <a:lnTo>
                                  <a:pt x="0" y="374"/>
                                </a:lnTo>
                                <a:lnTo>
                                  <a:pt x="0" y="361"/>
                                </a:lnTo>
                                <a:lnTo>
                                  <a:pt x="0" y="348"/>
                                </a:lnTo>
                                <a:lnTo>
                                  <a:pt x="0" y="322"/>
                                </a:lnTo>
                                <a:lnTo>
                                  <a:pt x="0" y="322"/>
                                </a:lnTo>
                                <a:lnTo>
                                  <a:pt x="12" y="296"/>
                                </a:lnTo>
                                <a:lnTo>
                                  <a:pt x="12" y="283"/>
                                </a:lnTo>
                                <a:lnTo>
                                  <a:pt x="24" y="270"/>
                                </a:lnTo>
                                <a:lnTo>
                                  <a:pt x="36" y="258"/>
                                </a:lnTo>
                                <a:lnTo>
                                  <a:pt x="48" y="245"/>
                                </a:lnTo>
                                <a:lnTo>
                                  <a:pt x="60" y="232"/>
                                </a:lnTo>
                                <a:lnTo>
                                  <a:pt x="84" y="206"/>
                                </a:lnTo>
                                <a:lnTo>
                                  <a:pt x="96" y="193"/>
                                </a:lnTo>
                                <a:lnTo>
                                  <a:pt x="108" y="180"/>
                                </a:lnTo>
                                <a:lnTo>
                                  <a:pt x="131" y="167"/>
                                </a:lnTo>
                                <a:lnTo>
                                  <a:pt x="143" y="154"/>
                                </a:lnTo>
                                <a:lnTo>
                                  <a:pt x="179" y="142"/>
                                </a:lnTo>
                                <a:lnTo>
                                  <a:pt x="203" y="116"/>
                                </a:lnTo>
                                <a:lnTo>
                                  <a:pt x="215" y="116"/>
                                </a:lnTo>
                                <a:lnTo>
                                  <a:pt x="251" y="90"/>
                                </a:lnTo>
                                <a:lnTo>
                                  <a:pt x="263" y="90"/>
                                </a:lnTo>
                                <a:lnTo>
                                  <a:pt x="298" y="77"/>
                                </a:lnTo>
                                <a:lnTo>
                                  <a:pt x="346" y="51"/>
                                </a:lnTo>
                                <a:lnTo>
                                  <a:pt x="358" y="51"/>
                                </a:lnTo>
                                <a:lnTo>
                                  <a:pt x="394" y="39"/>
                                </a:lnTo>
                                <a:lnTo>
                                  <a:pt x="442" y="26"/>
                                </a:lnTo>
                                <a:lnTo>
                                  <a:pt x="465" y="13"/>
                                </a:lnTo>
                                <a:lnTo>
                                  <a:pt x="501" y="0"/>
                                </a:lnTo>
                                <a:lnTo>
                                  <a:pt x="1897" y="361"/>
                                </a:lnTo>
                                <a:lnTo>
                                  <a:pt x="358" y="683"/>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8"/>
                        <wps:cNvSpPr>
                          <a:spLocks/>
                        </wps:cNvSpPr>
                        <wps:spPr bwMode="auto">
                          <a:xfrm>
                            <a:off x="1863460" y="1387434"/>
                            <a:ext cx="2266638" cy="750613"/>
                          </a:xfrm>
                          <a:custGeom>
                            <a:avLst/>
                            <a:gdLst>
                              <a:gd name="T0" fmla="*/ 3435 w 3435"/>
                              <a:gd name="T1" fmla="*/ 26 h 1095"/>
                              <a:gd name="T2" fmla="*/ 3411 w 3435"/>
                              <a:gd name="T3" fmla="*/ 64 h 1095"/>
                              <a:gd name="T4" fmla="*/ 3387 w 3435"/>
                              <a:gd name="T5" fmla="*/ 116 h 1095"/>
                              <a:gd name="T6" fmla="*/ 3340 w 3435"/>
                              <a:gd name="T7" fmla="*/ 155 h 1095"/>
                              <a:gd name="T8" fmla="*/ 3280 w 3435"/>
                              <a:gd name="T9" fmla="*/ 206 h 1095"/>
                              <a:gd name="T10" fmla="*/ 3209 w 3435"/>
                              <a:gd name="T11" fmla="*/ 245 h 1095"/>
                              <a:gd name="T12" fmla="*/ 3125 w 3435"/>
                              <a:gd name="T13" fmla="*/ 283 h 1095"/>
                              <a:gd name="T14" fmla="*/ 3030 w 3435"/>
                              <a:gd name="T15" fmla="*/ 322 h 1095"/>
                              <a:gd name="T16" fmla="*/ 2922 w 3435"/>
                              <a:gd name="T17" fmla="*/ 361 h 1095"/>
                              <a:gd name="T18" fmla="*/ 2803 w 3435"/>
                              <a:gd name="T19" fmla="*/ 387 h 1095"/>
                              <a:gd name="T20" fmla="*/ 2672 w 3435"/>
                              <a:gd name="T21" fmla="*/ 412 h 1095"/>
                              <a:gd name="T22" fmla="*/ 2540 w 3435"/>
                              <a:gd name="T23" fmla="*/ 451 h 1095"/>
                              <a:gd name="T24" fmla="*/ 2397 w 3435"/>
                              <a:gd name="T25" fmla="*/ 464 h 1095"/>
                              <a:gd name="T26" fmla="*/ 2242 w 3435"/>
                              <a:gd name="T27" fmla="*/ 490 h 1095"/>
                              <a:gd name="T28" fmla="*/ 2087 w 3435"/>
                              <a:gd name="T29" fmla="*/ 503 h 1095"/>
                              <a:gd name="T30" fmla="*/ 1932 w 3435"/>
                              <a:gd name="T31" fmla="*/ 515 h 1095"/>
                              <a:gd name="T32" fmla="*/ 1765 w 3435"/>
                              <a:gd name="T33" fmla="*/ 515 h 1095"/>
                              <a:gd name="T34" fmla="*/ 1598 w 3435"/>
                              <a:gd name="T35" fmla="*/ 528 h 1095"/>
                              <a:gd name="T36" fmla="*/ 1431 w 3435"/>
                              <a:gd name="T37" fmla="*/ 528 h 1095"/>
                              <a:gd name="T38" fmla="*/ 1276 w 3435"/>
                              <a:gd name="T39" fmla="*/ 515 h 1095"/>
                              <a:gd name="T40" fmla="*/ 1109 w 3435"/>
                              <a:gd name="T41" fmla="*/ 515 h 1095"/>
                              <a:gd name="T42" fmla="*/ 954 w 3435"/>
                              <a:gd name="T43" fmla="*/ 503 h 1095"/>
                              <a:gd name="T44" fmla="*/ 799 w 3435"/>
                              <a:gd name="T45" fmla="*/ 477 h 1095"/>
                              <a:gd name="T46" fmla="*/ 644 w 3435"/>
                              <a:gd name="T47" fmla="*/ 464 h 1095"/>
                              <a:gd name="T48" fmla="*/ 524 w 3435"/>
                              <a:gd name="T49" fmla="*/ 451 h 1095"/>
                              <a:gd name="T50" fmla="*/ 393 w 3435"/>
                              <a:gd name="T51" fmla="*/ 412 h 1095"/>
                              <a:gd name="T52" fmla="*/ 262 w 3435"/>
                              <a:gd name="T53" fmla="*/ 387 h 1095"/>
                              <a:gd name="T54" fmla="*/ 143 w 3435"/>
                              <a:gd name="T55" fmla="*/ 361 h 1095"/>
                              <a:gd name="T56" fmla="*/ 35 w 3435"/>
                              <a:gd name="T57" fmla="*/ 322 h 1095"/>
                              <a:gd name="T58" fmla="*/ 35 w 3435"/>
                              <a:gd name="T59" fmla="*/ 889 h 1095"/>
                              <a:gd name="T60" fmla="*/ 143 w 3435"/>
                              <a:gd name="T61" fmla="*/ 928 h 1095"/>
                              <a:gd name="T62" fmla="*/ 262 w 3435"/>
                              <a:gd name="T63" fmla="*/ 954 h 1095"/>
                              <a:gd name="T64" fmla="*/ 393 w 3435"/>
                              <a:gd name="T65" fmla="*/ 979 h 1095"/>
                              <a:gd name="T66" fmla="*/ 524 w 3435"/>
                              <a:gd name="T67" fmla="*/ 1018 h 1095"/>
                              <a:gd name="T68" fmla="*/ 644 w 3435"/>
                              <a:gd name="T69" fmla="*/ 1031 h 1095"/>
                              <a:gd name="T70" fmla="*/ 799 w 3435"/>
                              <a:gd name="T71" fmla="*/ 1044 h 1095"/>
                              <a:gd name="T72" fmla="*/ 954 w 3435"/>
                              <a:gd name="T73" fmla="*/ 1070 h 1095"/>
                              <a:gd name="T74" fmla="*/ 1109 w 3435"/>
                              <a:gd name="T75" fmla="*/ 1082 h 1095"/>
                              <a:gd name="T76" fmla="*/ 1276 w 3435"/>
                              <a:gd name="T77" fmla="*/ 1082 h 1095"/>
                              <a:gd name="T78" fmla="*/ 1431 w 3435"/>
                              <a:gd name="T79" fmla="*/ 1095 h 1095"/>
                              <a:gd name="T80" fmla="*/ 1598 w 3435"/>
                              <a:gd name="T81" fmla="*/ 1095 h 1095"/>
                              <a:gd name="T82" fmla="*/ 1765 w 3435"/>
                              <a:gd name="T83" fmla="*/ 1082 h 1095"/>
                              <a:gd name="T84" fmla="*/ 1932 w 3435"/>
                              <a:gd name="T85" fmla="*/ 1082 h 1095"/>
                              <a:gd name="T86" fmla="*/ 2087 w 3435"/>
                              <a:gd name="T87" fmla="*/ 1070 h 1095"/>
                              <a:gd name="T88" fmla="*/ 2242 w 3435"/>
                              <a:gd name="T89" fmla="*/ 1057 h 1095"/>
                              <a:gd name="T90" fmla="*/ 2397 w 3435"/>
                              <a:gd name="T91" fmla="*/ 1031 h 1095"/>
                              <a:gd name="T92" fmla="*/ 2540 w 3435"/>
                              <a:gd name="T93" fmla="*/ 1018 h 1095"/>
                              <a:gd name="T94" fmla="*/ 2672 w 3435"/>
                              <a:gd name="T95" fmla="*/ 979 h 1095"/>
                              <a:gd name="T96" fmla="*/ 2803 w 3435"/>
                              <a:gd name="T97" fmla="*/ 954 h 1095"/>
                              <a:gd name="T98" fmla="*/ 2922 w 3435"/>
                              <a:gd name="T99" fmla="*/ 928 h 1095"/>
                              <a:gd name="T100" fmla="*/ 3030 w 3435"/>
                              <a:gd name="T101" fmla="*/ 889 h 1095"/>
                              <a:gd name="T102" fmla="*/ 3125 w 3435"/>
                              <a:gd name="T103" fmla="*/ 850 h 1095"/>
                              <a:gd name="T104" fmla="*/ 3209 w 3435"/>
                              <a:gd name="T105" fmla="*/ 812 h 1095"/>
                              <a:gd name="T106" fmla="*/ 3280 w 3435"/>
                              <a:gd name="T107" fmla="*/ 773 h 1095"/>
                              <a:gd name="T108" fmla="*/ 3340 w 3435"/>
                              <a:gd name="T109" fmla="*/ 722 h 1095"/>
                              <a:gd name="T110" fmla="*/ 3387 w 3435"/>
                              <a:gd name="T111" fmla="*/ 683 h 1095"/>
                              <a:gd name="T112" fmla="*/ 3411 w 3435"/>
                              <a:gd name="T113" fmla="*/ 631 h 1095"/>
                              <a:gd name="T114" fmla="*/ 3435 w 3435"/>
                              <a:gd name="T115" fmla="*/ 593 h 1095"/>
                              <a:gd name="T116" fmla="*/ 3435 w 3435"/>
                              <a:gd name="T117" fmla="*/ 0 h 1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435" h="1095">
                                <a:moveTo>
                                  <a:pt x="3435" y="0"/>
                                </a:moveTo>
                                <a:lnTo>
                                  <a:pt x="3435" y="13"/>
                                </a:lnTo>
                                <a:lnTo>
                                  <a:pt x="3435" y="26"/>
                                </a:lnTo>
                                <a:lnTo>
                                  <a:pt x="3423" y="39"/>
                                </a:lnTo>
                                <a:lnTo>
                                  <a:pt x="3423" y="64"/>
                                </a:lnTo>
                                <a:lnTo>
                                  <a:pt x="3411" y="64"/>
                                </a:lnTo>
                                <a:lnTo>
                                  <a:pt x="3399" y="90"/>
                                </a:lnTo>
                                <a:lnTo>
                                  <a:pt x="3387" y="103"/>
                                </a:lnTo>
                                <a:lnTo>
                                  <a:pt x="3387" y="116"/>
                                </a:lnTo>
                                <a:lnTo>
                                  <a:pt x="3364" y="129"/>
                                </a:lnTo>
                                <a:lnTo>
                                  <a:pt x="3352" y="155"/>
                                </a:lnTo>
                                <a:lnTo>
                                  <a:pt x="3340" y="155"/>
                                </a:lnTo>
                                <a:lnTo>
                                  <a:pt x="3316" y="180"/>
                                </a:lnTo>
                                <a:lnTo>
                                  <a:pt x="3292" y="193"/>
                                </a:lnTo>
                                <a:lnTo>
                                  <a:pt x="3280" y="206"/>
                                </a:lnTo>
                                <a:lnTo>
                                  <a:pt x="3256" y="219"/>
                                </a:lnTo>
                                <a:lnTo>
                                  <a:pt x="3244" y="232"/>
                                </a:lnTo>
                                <a:lnTo>
                                  <a:pt x="3209" y="245"/>
                                </a:lnTo>
                                <a:lnTo>
                                  <a:pt x="3173" y="258"/>
                                </a:lnTo>
                                <a:lnTo>
                                  <a:pt x="3161" y="271"/>
                                </a:lnTo>
                                <a:lnTo>
                                  <a:pt x="3125" y="283"/>
                                </a:lnTo>
                                <a:lnTo>
                                  <a:pt x="3089" y="296"/>
                                </a:lnTo>
                                <a:lnTo>
                                  <a:pt x="3065" y="309"/>
                                </a:lnTo>
                                <a:lnTo>
                                  <a:pt x="3030" y="322"/>
                                </a:lnTo>
                                <a:lnTo>
                                  <a:pt x="2994" y="335"/>
                                </a:lnTo>
                                <a:lnTo>
                                  <a:pt x="2970" y="348"/>
                                </a:lnTo>
                                <a:lnTo>
                                  <a:pt x="2922" y="361"/>
                                </a:lnTo>
                                <a:lnTo>
                                  <a:pt x="2875" y="374"/>
                                </a:lnTo>
                                <a:lnTo>
                                  <a:pt x="2851" y="374"/>
                                </a:lnTo>
                                <a:lnTo>
                                  <a:pt x="2803" y="387"/>
                                </a:lnTo>
                                <a:lnTo>
                                  <a:pt x="2755" y="399"/>
                                </a:lnTo>
                                <a:lnTo>
                                  <a:pt x="2731" y="412"/>
                                </a:lnTo>
                                <a:lnTo>
                                  <a:pt x="2672" y="412"/>
                                </a:lnTo>
                                <a:lnTo>
                                  <a:pt x="2624" y="425"/>
                                </a:lnTo>
                                <a:lnTo>
                                  <a:pt x="2600" y="438"/>
                                </a:lnTo>
                                <a:lnTo>
                                  <a:pt x="2540" y="451"/>
                                </a:lnTo>
                                <a:lnTo>
                                  <a:pt x="2481" y="451"/>
                                </a:lnTo>
                                <a:lnTo>
                                  <a:pt x="2457" y="464"/>
                                </a:lnTo>
                                <a:lnTo>
                                  <a:pt x="2397" y="464"/>
                                </a:lnTo>
                                <a:lnTo>
                                  <a:pt x="2338" y="477"/>
                                </a:lnTo>
                                <a:lnTo>
                                  <a:pt x="2302" y="477"/>
                                </a:lnTo>
                                <a:lnTo>
                                  <a:pt x="2242" y="490"/>
                                </a:lnTo>
                                <a:lnTo>
                                  <a:pt x="2183" y="490"/>
                                </a:lnTo>
                                <a:lnTo>
                                  <a:pt x="2159" y="503"/>
                                </a:lnTo>
                                <a:lnTo>
                                  <a:pt x="2087" y="503"/>
                                </a:lnTo>
                                <a:lnTo>
                                  <a:pt x="2063" y="503"/>
                                </a:lnTo>
                                <a:lnTo>
                                  <a:pt x="1992" y="515"/>
                                </a:lnTo>
                                <a:lnTo>
                                  <a:pt x="1932" y="515"/>
                                </a:lnTo>
                                <a:lnTo>
                                  <a:pt x="1896" y="515"/>
                                </a:lnTo>
                                <a:lnTo>
                                  <a:pt x="1837" y="515"/>
                                </a:lnTo>
                                <a:lnTo>
                                  <a:pt x="1765" y="515"/>
                                </a:lnTo>
                                <a:lnTo>
                                  <a:pt x="1729" y="528"/>
                                </a:lnTo>
                                <a:lnTo>
                                  <a:pt x="1670" y="528"/>
                                </a:lnTo>
                                <a:lnTo>
                                  <a:pt x="1598" y="528"/>
                                </a:lnTo>
                                <a:lnTo>
                                  <a:pt x="1574" y="528"/>
                                </a:lnTo>
                                <a:lnTo>
                                  <a:pt x="1503" y="528"/>
                                </a:lnTo>
                                <a:lnTo>
                                  <a:pt x="1431" y="528"/>
                                </a:lnTo>
                                <a:lnTo>
                                  <a:pt x="1407" y="528"/>
                                </a:lnTo>
                                <a:lnTo>
                                  <a:pt x="1336" y="528"/>
                                </a:lnTo>
                                <a:lnTo>
                                  <a:pt x="1276" y="515"/>
                                </a:lnTo>
                                <a:lnTo>
                                  <a:pt x="1240" y="515"/>
                                </a:lnTo>
                                <a:lnTo>
                                  <a:pt x="1169" y="515"/>
                                </a:lnTo>
                                <a:lnTo>
                                  <a:pt x="1109" y="515"/>
                                </a:lnTo>
                                <a:lnTo>
                                  <a:pt x="1073" y="515"/>
                                </a:lnTo>
                                <a:lnTo>
                                  <a:pt x="1014" y="503"/>
                                </a:lnTo>
                                <a:lnTo>
                                  <a:pt x="954" y="503"/>
                                </a:lnTo>
                                <a:lnTo>
                                  <a:pt x="918" y="503"/>
                                </a:lnTo>
                                <a:lnTo>
                                  <a:pt x="859" y="490"/>
                                </a:lnTo>
                                <a:lnTo>
                                  <a:pt x="799" y="477"/>
                                </a:lnTo>
                                <a:lnTo>
                                  <a:pt x="763" y="477"/>
                                </a:lnTo>
                                <a:lnTo>
                                  <a:pt x="703" y="477"/>
                                </a:lnTo>
                                <a:lnTo>
                                  <a:pt x="644" y="464"/>
                                </a:lnTo>
                                <a:lnTo>
                                  <a:pt x="620" y="464"/>
                                </a:lnTo>
                                <a:lnTo>
                                  <a:pt x="560" y="451"/>
                                </a:lnTo>
                                <a:lnTo>
                                  <a:pt x="524" y="451"/>
                                </a:lnTo>
                                <a:lnTo>
                                  <a:pt x="477" y="438"/>
                                </a:lnTo>
                                <a:lnTo>
                                  <a:pt x="417" y="425"/>
                                </a:lnTo>
                                <a:lnTo>
                                  <a:pt x="393" y="412"/>
                                </a:lnTo>
                                <a:lnTo>
                                  <a:pt x="346" y="412"/>
                                </a:lnTo>
                                <a:lnTo>
                                  <a:pt x="286" y="399"/>
                                </a:lnTo>
                                <a:lnTo>
                                  <a:pt x="262" y="387"/>
                                </a:lnTo>
                                <a:lnTo>
                                  <a:pt x="214" y="374"/>
                                </a:lnTo>
                                <a:lnTo>
                                  <a:pt x="167" y="361"/>
                                </a:lnTo>
                                <a:lnTo>
                                  <a:pt x="143" y="361"/>
                                </a:lnTo>
                                <a:lnTo>
                                  <a:pt x="107" y="348"/>
                                </a:lnTo>
                                <a:lnTo>
                                  <a:pt x="59" y="335"/>
                                </a:lnTo>
                                <a:lnTo>
                                  <a:pt x="35" y="322"/>
                                </a:lnTo>
                                <a:lnTo>
                                  <a:pt x="0" y="309"/>
                                </a:lnTo>
                                <a:lnTo>
                                  <a:pt x="0" y="876"/>
                                </a:lnTo>
                                <a:lnTo>
                                  <a:pt x="35" y="889"/>
                                </a:lnTo>
                                <a:lnTo>
                                  <a:pt x="59" y="902"/>
                                </a:lnTo>
                                <a:lnTo>
                                  <a:pt x="107" y="915"/>
                                </a:lnTo>
                                <a:lnTo>
                                  <a:pt x="143" y="928"/>
                                </a:lnTo>
                                <a:lnTo>
                                  <a:pt x="167" y="928"/>
                                </a:lnTo>
                                <a:lnTo>
                                  <a:pt x="214" y="941"/>
                                </a:lnTo>
                                <a:lnTo>
                                  <a:pt x="262" y="954"/>
                                </a:lnTo>
                                <a:lnTo>
                                  <a:pt x="286" y="966"/>
                                </a:lnTo>
                                <a:lnTo>
                                  <a:pt x="346" y="979"/>
                                </a:lnTo>
                                <a:lnTo>
                                  <a:pt x="393" y="979"/>
                                </a:lnTo>
                                <a:lnTo>
                                  <a:pt x="417" y="992"/>
                                </a:lnTo>
                                <a:lnTo>
                                  <a:pt x="477" y="1005"/>
                                </a:lnTo>
                                <a:lnTo>
                                  <a:pt x="524" y="1018"/>
                                </a:lnTo>
                                <a:lnTo>
                                  <a:pt x="560" y="1018"/>
                                </a:lnTo>
                                <a:lnTo>
                                  <a:pt x="620" y="1031"/>
                                </a:lnTo>
                                <a:lnTo>
                                  <a:pt x="644" y="1031"/>
                                </a:lnTo>
                                <a:lnTo>
                                  <a:pt x="703" y="1044"/>
                                </a:lnTo>
                                <a:lnTo>
                                  <a:pt x="763" y="1044"/>
                                </a:lnTo>
                                <a:lnTo>
                                  <a:pt x="799" y="1044"/>
                                </a:lnTo>
                                <a:lnTo>
                                  <a:pt x="859" y="1057"/>
                                </a:lnTo>
                                <a:lnTo>
                                  <a:pt x="918" y="1070"/>
                                </a:lnTo>
                                <a:lnTo>
                                  <a:pt x="954" y="1070"/>
                                </a:lnTo>
                                <a:lnTo>
                                  <a:pt x="1014" y="1070"/>
                                </a:lnTo>
                                <a:lnTo>
                                  <a:pt x="1073" y="1082"/>
                                </a:lnTo>
                                <a:lnTo>
                                  <a:pt x="1109" y="1082"/>
                                </a:lnTo>
                                <a:lnTo>
                                  <a:pt x="1169" y="1082"/>
                                </a:lnTo>
                                <a:lnTo>
                                  <a:pt x="1240" y="1082"/>
                                </a:lnTo>
                                <a:lnTo>
                                  <a:pt x="1276" y="1082"/>
                                </a:lnTo>
                                <a:lnTo>
                                  <a:pt x="1336" y="1095"/>
                                </a:lnTo>
                                <a:lnTo>
                                  <a:pt x="1407" y="1095"/>
                                </a:lnTo>
                                <a:lnTo>
                                  <a:pt x="1431" y="1095"/>
                                </a:lnTo>
                                <a:lnTo>
                                  <a:pt x="1503" y="1095"/>
                                </a:lnTo>
                                <a:lnTo>
                                  <a:pt x="1574" y="1095"/>
                                </a:lnTo>
                                <a:lnTo>
                                  <a:pt x="1598" y="1095"/>
                                </a:lnTo>
                                <a:lnTo>
                                  <a:pt x="1670" y="1095"/>
                                </a:lnTo>
                                <a:lnTo>
                                  <a:pt x="1729" y="1095"/>
                                </a:lnTo>
                                <a:lnTo>
                                  <a:pt x="1765" y="1082"/>
                                </a:lnTo>
                                <a:lnTo>
                                  <a:pt x="1837" y="1082"/>
                                </a:lnTo>
                                <a:lnTo>
                                  <a:pt x="1896" y="1082"/>
                                </a:lnTo>
                                <a:lnTo>
                                  <a:pt x="1932" y="1082"/>
                                </a:lnTo>
                                <a:lnTo>
                                  <a:pt x="1992" y="1082"/>
                                </a:lnTo>
                                <a:lnTo>
                                  <a:pt x="2063" y="1070"/>
                                </a:lnTo>
                                <a:lnTo>
                                  <a:pt x="2087" y="1070"/>
                                </a:lnTo>
                                <a:lnTo>
                                  <a:pt x="2159" y="1070"/>
                                </a:lnTo>
                                <a:lnTo>
                                  <a:pt x="2183" y="1057"/>
                                </a:lnTo>
                                <a:lnTo>
                                  <a:pt x="2242" y="1057"/>
                                </a:lnTo>
                                <a:lnTo>
                                  <a:pt x="2302" y="1044"/>
                                </a:lnTo>
                                <a:lnTo>
                                  <a:pt x="2338" y="1044"/>
                                </a:lnTo>
                                <a:lnTo>
                                  <a:pt x="2397" y="1031"/>
                                </a:lnTo>
                                <a:lnTo>
                                  <a:pt x="2457" y="1031"/>
                                </a:lnTo>
                                <a:lnTo>
                                  <a:pt x="2481" y="1018"/>
                                </a:lnTo>
                                <a:lnTo>
                                  <a:pt x="2540" y="1018"/>
                                </a:lnTo>
                                <a:lnTo>
                                  <a:pt x="2600" y="1005"/>
                                </a:lnTo>
                                <a:lnTo>
                                  <a:pt x="2624" y="992"/>
                                </a:lnTo>
                                <a:lnTo>
                                  <a:pt x="2672" y="979"/>
                                </a:lnTo>
                                <a:lnTo>
                                  <a:pt x="2731" y="979"/>
                                </a:lnTo>
                                <a:lnTo>
                                  <a:pt x="2755" y="966"/>
                                </a:lnTo>
                                <a:lnTo>
                                  <a:pt x="2803" y="954"/>
                                </a:lnTo>
                                <a:lnTo>
                                  <a:pt x="2851" y="941"/>
                                </a:lnTo>
                                <a:lnTo>
                                  <a:pt x="2875" y="941"/>
                                </a:lnTo>
                                <a:lnTo>
                                  <a:pt x="2922" y="928"/>
                                </a:lnTo>
                                <a:lnTo>
                                  <a:pt x="2970" y="915"/>
                                </a:lnTo>
                                <a:lnTo>
                                  <a:pt x="2994" y="902"/>
                                </a:lnTo>
                                <a:lnTo>
                                  <a:pt x="3030" y="889"/>
                                </a:lnTo>
                                <a:lnTo>
                                  <a:pt x="3065" y="876"/>
                                </a:lnTo>
                                <a:lnTo>
                                  <a:pt x="3089" y="863"/>
                                </a:lnTo>
                                <a:lnTo>
                                  <a:pt x="3125" y="850"/>
                                </a:lnTo>
                                <a:lnTo>
                                  <a:pt x="3161" y="838"/>
                                </a:lnTo>
                                <a:lnTo>
                                  <a:pt x="3173" y="825"/>
                                </a:lnTo>
                                <a:lnTo>
                                  <a:pt x="3209" y="812"/>
                                </a:lnTo>
                                <a:lnTo>
                                  <a:pt x="3244" y="799"/>
                                </a:lnTo>
                                <a:lnTo>
                                  <a:pt x="3256" y="786"/>
                                </a:lnTo>
                                <a:lnTo>
                                  <a:pt x="3280" y="773"/>
                                </a:lnTo>
                                <a:lnTo>
                                  <a:pt x="3292" y="760"/>
                                </a:lnTo>
                                <a:lnTo>
                                  <a:pt x="3316" y="747"/>
                                </a:lnTo>
                                <a:lnTo>
                                  <a:pt x="3340" y="722"/>
                                </a:lnTo>
                                <a:lnTo>
                                  <a:pt x="3352" y="722"/>
                                </a:lnTo>
                                <a:lnTo>
                                  <a:pt x="3364" y="696"/>
                                </a:lnTo>
                                <a:lnTo>
                                  <a:pt x="3387" y="683"/>
                                </a:lnTo>
                                <a:lnTo>
                                  <a:pt x="3387" y="670"/>
                                </a:lnTo>
                                <a:lnTo>
                                  <a:pt x="3399" y="657"/>
                                </a:lnTo>
                                <a:lnTo>
                                  <a:pt x="3411" y="631"/>
                                </a:lnTo>
                                <a:lnTo>
                                  <a:pt x="3423" y="631"/>
                                </a:lnTo>
                                <a:lnTo>
                                  <a:pt x="3423" y="606"/>
                                </a:lnTo>
                                <a:lnTo>
                                  <a:pt x="3435" y="593"/>
                                </a:lnTo>
                                <a:lnTo>
                                  <a:pt x="3435" y="580"/>
                                </a:lnTo>
                                <a:lnTo>
                                  <a:pt x="3435" y="567"/>
                                </a:lnTo>
                                <a:lnTo>
                                  <a:pt x="3435" y="0"/>
                                </a:lnTo>
                                <a:close/>
                              </a:path>
                            </a:pathLst>
                          </a:custGeom>
                          <a:solidFill>
                            <a:srgbClr val="8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9"/>
                        <wps:cNvSpPr>
                          <a:spLocks/>
                        </wps:cNvSpPr>
                        <wps:spPr bwMode="auto">
                          <a:xfrm>
                            <a:off x="1863460" y="1033721"/>
                            <a:ext cx="2266638" cy="732790"/>
                          </a:xfrm>
                          <a:custGeom>
                            <a:avLst/>
                            <a:gdLst>
                              <a:gd name="T0" fmla="*/ 1634 w 3435"/>
                              <a:gd name="T1" fmla="*/ 0 h 1069"/>
                              <a:gd name="T2" fmla="*/ 1801 w 3435"/>
                              <a:gd name="T3" fmla="*/ 0 h 1069"/>
                              <a:gd name="T4" fmla="*/ 1968 w 3435"/>
                              <a:gd name="T5" fmla="*/ 13 h 1069"/>
                              <a:gd name="T6" fmla="*/ 2123 w 3435"/>
                              <a:gd name="T7" fmla="*/ 25 h 1069"/>
                              <a:gd name="T8" fmla="*/ 2278 w 3435"/>
                              <a:gd name="T9" fmla="*/ 38 h 1069"/>
                              <a:gd name="T10" fmla="*/ 2421 w 3435"/>
                              <a:gd name="T11" fmla="*/ 64 h 1069"/>
                              <a:gd name="T12" fmla="*/ 2564 w 3435"/>
                              <a:gd name="T13" fmla="*/ 77 h 1069"/>
                              <a:gd name="T14" fmla="*/ 2707 w 3435"/>
                              <a:gd name="T15" fmla="*/ 116 h 1069"/>
                              <a:gd name="T16" fmla="*/ 2827 w 3435"/>
                              <a:gd name="T17" fmla="*/ 141 h 1069"/>
                              <a:gd name="T18" fmla="*/ 2946 w 3435"/>
                              <a:gd name="T19" fmla="*/ 167 h 1069"/>
                              <a:gd name="T20" fmla="*/ 3053 w 3435"/>
                              <a:gd name="T21" fmla="*/ 206 h 1069"/>
                              <a:gd name="T22" fmla="*/ 3149 w 3435"/>
                              <a:gd name="T23" fmla="*/ 244 h 1069"/>
                              <a:gd name="T24" fmla="*/ 3220 w 3435"/>
                              <a:gd name="T25" fmla="*/ 283 h 1069"/>
                              <a:gd name="T26" fmla="*/ 3292 w 3435"/>
                              <a:gd name="T27" fmla="*/ 335 h 1069"/>
                              <a:gd name="T28" fmla="*/ 3352 w 3435"/>
                              <a:gd name="T29" fmla="*/ 373 h 1069"/>
                              <a:gd name="T30" fmla="*/ 3387 w 3435"/>
                              <a:gd name="T31" fmla="*/ 425 h 1069"/>
                              <a:gd name="T32" fmla="*/ 3423 w 3435"/>
                              <a:gd name="T33" fmla="*/ 464 h 1069"/>
                              <a:gd name="T34" fmla="*/ 3435 w 3435"/>
                              <a:gd name="T35" fmla="*/ 515 h 1069"/>
                              <a:gd name="T36" fmla="*/ 3435 w 3435"/>
                              <a:gd name="T37" fmla="*/ 554 h 1069"/>
                              <a:gd name="T38" fmla="*/ 3411 w 3435"/>
                              <a:gd name="T39" fmla="*/ 605 h 1069"/>
                              <a:gd name="T40" fmla="*/ 3387 w 3435"/>
                              <a:gd name="T41" fmla="*/ 657 h 1069"/>
                              <a:gd name="T42" fmla="*/ 3340 w 3435"/>
                              <a:gd name="T43" fmla="*/ 695 h 1069"/>
                              <a:gd name="T44" fmla="*/ 3280 w 3435"/>
                              <a:gd name="T45" fmla="*/ 734 h 1069"/>
                              <a:gd name="T46" fmla="*/ 3209 w 3435"/>
                              <a:gd name="T47" fmla="*/ 786 h 1069"/>
                              <a:gd name="T48" fmla="*/ 3125 w 3435"/>
                              <a:gd name="T49" fmla="*/ 824 h 1069"/>
                              <a:gd name="T50" fmla="*/ 3030 w 3435"/>
                              <a:gd name="T51" fmla="*/ 863 h 1069"/>
                              <a:gd name="T52" fmla="*/ 2922 w 3435"/>
                              <a:gd name="T53" fmla="*/ 902 h 1069"/>
                              <a:gd name="T54" fmla="*/ 2803 w 3435"/>
                              <a:gd name="T55" fmla="*/ 927 h 1069"/>
                              <a:gd name="T56" fmla="*/ 2672 w 3435"/>
                              <a:gd name="T57" fmla="*/ 953 h 1069"/>
                              <a:gd name="T58" fmla="*/ 2540 w 3435"/>
                              <a:gd name="T59" fmla="*/ 979 h 1069"/>
                              <a:gd name="T60" fmla="*/ 2397 w 3435"/>
                              <a:gd name="T61" fmla="*/ 1005 h 1069"/>
                              <a:gd name="T62" fmla="*/ 2242 w 3435"/>
                              <a:gd name="T63" fmla="*/ 1031 h 1069"/>
                              <a:gd name="T64" fmla="*/ 2087 w 3435"/>
                              <a:gd name="T65" fmla="*/ 1043 h 1069"/>
                              <a:gd name="T66" fmla="*/ 1932 w 3435"/>
                              <a:gd name="T67" fmla="*/ 1056 h 1069"/>
                              <a:gd name="T68" fmla="*/ 1765 w 3435"/>
                              <a:gd name="T69" fmla="*/ 1056 h 1069"/>
                              <a:gd name="T70" fmla="*/ 1598 w 3435"/>
                              <a:gd name="T71" fmla="*/ 1069 h 1069"/>
                              <a:gd name="T72" fmla="*/ 1431 w 3435"/>
                              <a:gd name="T73" fmla="*/ 1069 h 1069"/>
                              <a:gd name="T74" fmla="*/ 1276 w 3435"/>
                              <a:gd name="T75" fmla="*/ 1056 h 1069"/>
                              <a:gd name="T76" fmla="*/ 1109 w 3435"/>
                              <a:gd name="T77" fmla="*/ 1056 h 1069"/>
                              <a:gd name="T78" fmla="*/ 978 w 3435"/>
                              <a:gd name="T79" fmla="*/ 1043 h 1069"/>
                              <a:gd name="T80" fmla="*/ 823 w 3435"/>
                              <a:gd name="T81" fmla="*/ 1031 h 1069"/>
                              <a:gd name="T82" fmla="*/ 680 w 3435"/>
                              <a:gd name="T83" fmla="*/ 1005 h 1069"/>
                              <a:gd name="T84" fmla="*/ 524 w 3435"/>
                              <a:gd name="T85" fmla="*/ 979 h 1069"/>
                              <a:gd name="T86" fmla="*/ 393 w 3435"/>
                              <a:gd name="T87" fmla="*/ 953 h 1069"/>
                              <a:gd name="T88" fmla="*/ 262 w 3435"/>
                              <a:gd name="T89" fmla="*/ 927 h 1069"/>
                              <a:gd name="T90" fmla="*/ 143 w 3435"/>
                              <a:gd name="T91" fmla="*/ 902 h 1069"/>
                              <a:gd name="T92" fmla="*/ 35 w 3435"/>
                              <a:gd name="T93" fmla="*/ 863 h 1069"/>
                              <a:gd name="T94" fmla="*/ 1538 w 3435"/>
                              <a:gd name="T95" fmla="*/ 0 h 10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435" h="1069">
                                <a:moveTo>
                                  <a:pt x="1538" y="0"/>
                                </a:moveTo>
                                <a:lnTo>
                                  <a:pt x="1598" y="0"/>
                                </a:lnTo>
                                <a:lnTo>
                                  <a:pt x="1634" y="0"/>
                                </a:lnTo>
                                <a:lnTo>
                                  <a:pt x="1705" y="0"/>
                                </a:lnTo>
                                <a:lnTo>
                                  <a:pt x="1765" y="0"/>
                                </a:lnTo>
                                <a:lnTo>
                                  <a:pt x="1801" y="0"/>
                                </a:lnTo>
                                <a:lnTo>
                                  <a:pt x="1861" y="0"/>
                                </a:lnTo>
                                <a:lnTo>
                                  <a:pt x="1932" y="13"/>
                                </a:lnTo>
                                <a:lnTo>
                                  <a:pt x="1968" y="13"/>
                                </a:lnTo>
                                <a:lnTo>
                                  <a:pt x="2028" y="13"/>
                                </a:lnTo>
                                <a:lnTo>
                                  <a:pt x="2087" y="25"/>
                                </a:lnTo>
                                <a:lnTo>
                                  <a:pt x="2123" y="25"/>
                                </a:lnTo>
                                <a:lnTo>
                                  <a:pt x="2183" y="25"/>
                                </a:lnTo>
                                <a:lnTo>
                                  <a:pt x="2242" y="38"/>
                                </a:lnTo>
                                <a:lnTo>
                                  <a:pt x="2278" y="38"/>
                                </a:lnTo>
                                <a:lnTo>
                                  <a:pt x="2338" y="51"/>
                                </a:lnTo>
                                <a:lnTo>
                                  <a:pt x="2397" y="51"/>
                                </a:lnTo>
                                <a:lnTo>
                                  <a:pt x="2421" y="64"/>
                                </a:lnTo>
                                <a:lnTo>
                                  <a:pt x="2481" y="64"/>
                                </a:lnTo>
                                <a:lnTo>
                                  <a:pt x="2540" y="77"/>
                                </a:lnTo>
                                <a:lnTo>
                                  <a:pt x="2564" y="77"/>
                                </a:lnTo>
                                <a:lnTo>
                                  <a:pt x="2624" y="90"/>
                                </a:lnTo>
                                <a:lnTo>
                                  <a:pt x="2672" y="103"/>
                                </a:lnTo>
                                <a:lnTo>
                                  <a:pt x="2707" y="116"/>
                                </a:lnTo>
                                <a:lnTo>
                                  <a:pt x="2755" y="116"/>
                                </a:lnTo>
                                <a:lnTo>
                                  <a:pt x="2779" y="129"/>
                                </a:lnTo>
                                <a:lnTo>
                                  <a:pt x="2827" y="141"/>
                                </a:lnTo>
                                <a:lnTo>
                                  <a:pt x="2875" y="154"/>
                                </a:lnTo>
                                <a:lnTo>
                                  <a:pt x="2898" y="154"/>
                                </a:lnTo>
                                <a:lnTo>
                                  <a:pt x="2946" y="167"/>
                                </a:lnTo>
                                <a:lnTo>
                                  <a:pt x="2994" y="193"/>
                                </a:lnTo>
                                <a:lnTo>
                                  <a:pt x="3006" y="193"/>
                                </a:lnTo>
                                <a:lnTo>
                                  <a:pt x="3053" y="206"/>
                                </a:lnTo>
                                <a:lnTo>
                                  <a:pt x="3089" y="219"/>
                                </a:lnTo>
                                <a:lnTo>
                                  <a:pt x="3113" y="232"/>
                                </a:lnTo>
                                <a:lnTo>
                                  <a:pt x="3149" y="244"/>
                                </a:lnTo>
                                <a:lnTo>
                                  <a:pt x="3173" y="257"/>
                                </a:lnTo>
                                <a:lnTo>
                                  <a:pt x="3197" y="270"/>
                                </a:lnTo>
                                <a:lnTo>
                                  <a:pt x="3220" y="283"/>
                                </a:lnTo>
                                <a:lnTo>
                                  <a:pt x="3256" y="309"/>
                                </a:lnTo>
                                <a:lnTo>
                                  <a:pt x="3268" y="309"/>
                                </a:lnTo>
                                <a:lnTo>
                                  <a:pt x="3292" y="335"/>
                                </a:lnTo>
                                <a:lnTo>
                                  <a:pt x="3316" y="348"/>
                                </a:lnTo>
                                <a:lnTo>
                                  <a:pt x="3328" y="360"/>
                                </a:lnTo>
                                <a:lnTo>
                                  <a:pt x="3352" y="373"/>
                                </a:lnTo>
                                <a:lnTo>
                                  <a:pt x="3364" y="399"/>
                                </a:lnTo>
                                <a:lnTo>
                                  <a:pt x="3376" y="399"/>
                                </a:lnTo>
                                <a:lnTo>
                                  <a:pt x="3387" y="425"/>
                                </a:lnTo>
                                <a:lnTo>
                                  <a:pt x="3399" y="438"/>
                                </a:lnTo>
                                <a:lnTo>
                                  <a:pt x="3411" y="451"/>
                                </a:lnTo>
                                <a:lnTo>
                                  <a:pt x="3423" y="464"/>
                                </a:lnTo>
                                <a:lnTo>
                                  <a:pt x="3423" y="489"/>
                                </a:lnTo>
                                <a:lnTo>
                                  <a:pt x="3423" y="489"/>
                                </a:lnTo>
                                <a:lnTo>
                                  <a:pt x="3435" y="515"/>
                                </a:lnTo>
                                <a:lnTo>
                                  <a:pt x="3435" y="528"/>
                                </a:lnTo>
                                <a:lnTo>
                                  <a:pt x="3435" y="541"/>
                                </a:lnTo>
                                <a:lnTo>
                                  <a:pt x="3435" y="554"/>
                                </a:lnTo>
                                <a:lnTo>
                                  <a:pt x="3423" y="580"/>
                                </a:lnTo>
                                <a:lnTo>
                                  <a:pt x="3423" y="592"/>
                                </a:lnTo>
                                <a:lnTo>
                                  <a:pt x="3411" y="605"/>
                                </a:lnTo>
                                <a:lnTo>
                                  <a:pt x="3399" y="618"/>
                                </a:lnTo>
                                <a:lnTo>
                                  <a:pt x="3399" y="631"/>
                                </a:lnTo>
                                <a:lnTo>
                                  <a:pt x="3387" y="657"/>
                                </a:lnTo>
                                <a:lnTo>
                                  <a:pt x="3364" y="670"/>
                                </a:lnTo>
                                <a:lnTo>
                                  <a:pt x="3364" y="683"/>
                                </a:lnTo>
                                <a:lnTo>
                                  <a:pt x="3340" y="695"/>
                                </a:lnTo>
                                <a:lnTo>
                                  <a:pt x="3316" y="708"/>
                                </a:lnTo>
                                <a:lnTo>
                                  <a:pt x="3304" y="721"/>
                                </a:lnTo>
                                <a:lnTo>
                                  <a:pt x="3280" y="734"/>
                                </a:lnTo>
                                <a:lnTo>
                                  <a:pt x="3256" y="760"/>
                                </a:lnTo>
                                <a:lnTo>
                                  <a:pt x="3244" y="760"/>
                                </a:lnTo>
                                <a:lnTo>
                                  <a:pt x="3209" y="786"/>
                                </a:lnTo>
                                <a:lnTo>
                                  <a:pt x="3197" y="786"/>
                                </a:lnTo>
                                <a:lnTo>
                                  <a:pt x="3161" y="811"/>
                                </a:lnTo>
                                <a:lnTo>
                                  <a:pt x="3125" y="824"/>
                                </a:lnTo>
                                <a:lnTo>
                                  <a:pt x="3113" y="824"/>
                                </a:lnTo>
                                <a:lnTo>
                                  <a:pt x="3065" y="850"/>
                                </a:lnTo>
                                <a:lnTo>
                                  <a:pt x="3030" y="863"/>
                                </a:lnTo>
                                <a:lnTo>
                                  <a:pt x="3006" y="863"/>
                                </a:lnTo>
                                <a:lnTo>
                                  <a:pt x="2970" y="876"/>
                                </a:lnTo>
                                <a:lnTo>
                                  <a:pt x="2922" y="902"/>
                                </a:lnTo>
                                <a:lnTo>
                                  <a:pt x="2898" y="902"/>
                                </a:lnTo>
                                <a:lnTo>
                                  <a:pt x="2851" y="915"/>
                                </a:lnTo>
                                <a:lnTo>
                                  <a:pt x="2803" y="927"/>
                                </a:lnTo>
                                <a:lnTo>
                                  <a:pt x="2779" y="940"/>
                                </a:lnTo>
                                <a:lnTo>
                                  <a:pt x="2731" y="953"/>
                                </a:lnTo>
                                <a:lnTo>
                                  <a:pt x="2672" y="953"/>
                                </a:lnTo>
                                <a:lnTo>
                                  <a:pt x="2648" y="966"/>
                                </a:lnTo>
                                <a:lnTo>
                                  <a:pt x="2600" y="979"/>
                                </a:lnTo>
                                <a:lnTo>
                                  <a:pt x="2540" y="979"/>
                                </a:lnTo>
                                <a:lnTo>
                                  <a:pt x="2517" y="992"/>
                                </a:lnTo>
                                <a:lnTo>
                                  <a:pt x="2457" y="1005"/>
                                </a:lnTo>
                                <a:lnTo>
                                  <a:pt x="2397" y="1005"/>
                                </a:lnTo>
                                <a:lnTo>
                                  <a:pt x="2362" y="1018"/>
                                </a:lnTo>
                                <a:lnTo>
                                  <a:pt x="2302" y="1018"/>
                                </a:lnTo>
                                <a:lnTo>
                                  <a:pt x="2242" y="1031"/>
                                </a:lnTo>
                                <a:lnTo>
                                  <a:pt x="2218" y="1031"/>
                                </a:lnTo>
                                <a:lnTo>
                                  <a:pt x="2159" y="1031"/>
                                </a:lnTo>
                                <a:lnTo>
                                  <a:pt x="2087" y="1043"/>
                                </a:lnTo>
                                <a:lnTo>
                                  <a:pt x="2063" y="1043"/>
                                </a:lnTo>
                                <a:lnTo>
                                  <a:pt x="1992" y="1056"/>
                                </a:lnTo>
                                <a:lnTo>
                                  <a:pt x="1932" y="1056"/>
                                </a:lnTo>
                                <a:lnTo>
                                  <a:pt x="1896" y="1056"/>
                                </a:lnTo>
                                <a:lnTo>
                                  <a:pt x="1837" y="1056"/>
                                </a:lnTo>
                                <a:lnTo>
                                  <a:pt x="1765" y="1056"/>
                                </a:lnTo>
                                <a:lnTo>
                                  <a:pt x="1729" y="1069"/>
                                </a:lnTo>
                                <a:lnTo>
                                  <a:pt x="1670" y="1069"/>
                                </a:lnTo>
                                <a:lnTo>
                                  <a:pt x="1598" y="1069"/>
                                </a:lnTo>
                                <a:lnTo>
                                  <a:pt x="1574" y="1069"/>
                                </a:lnTo>
                                <a:lnTo>
                                  <a:pt x="1503" y="1069"/>
                                </a:lnTo>
                                <a:lnTo>
                                  <a:pt x="1431" y="1069"/>
                                </a:lnTo>
                                <a:lnTo>
                                  <a:pt x="1407" y="1069"/>
                                </a:lnTo>
                                <a:lnTo>
                                  <a:pt x="1336" y="1069"/>
                                </a:lnTo>
                                <a:lnTo>
                                  <a:pt x="1276" y="1056"/>
                                </a:lnTo>
                                <a:lnTo>
                                  <a:pt x="1240" y="1056"/>
                                </a:lnTo>
                                <a:lnTo>
                                  <a:pt x="1169" y="1056"/>
                                </a:lnTo>
                                <a:lnTo>
                                  <a:pt x="1109" y="1056"/>
                                </a:lnTo>
                                <a:lnTo>
                                  <a:pt x="1073" y="1056"/>
                                </a:lnTo>
                                <a:lnTo>
                                  <a:pt x="1014" y="1043"/>
                                </a:lnTo>
                                <a:lnTo>
                                  <a:pt x="978" y="1043"/>
                                </a:lnTo>
                                <a:lnTo>
                                  <a:pt x="918" y="1031"/>
                                </a:lnTo>
                                <a:lnTo>
                                  <a:pt x="859" y="1031"/>
                                </a:lnTo>
                                <a:lnTo>
                                  <a:pt x="823" y="1031"/>
                                </a:lnTo>
                                <a:lnTo>
                                  <a:pt x="763" y="1018"/>
                                </a:lnTo>
                                <a:lnTo>
                                  <a:pt x="703" y="1018"/>
                                </a:lnTo>
                                <a:lnTo>
                                  <a:pt x="680" y="1005"/>
                                </a:lnTo>
                                <a:lnTo>
                                  <a:pt x="620" y="1005"/>
                                </a:lnTo>
                                <a:lnTo>
                                  <a:pt x="560" y="992"/>
                                </a:lnTo>
                                <a:lnTo>
                                  <a:pt x="524" y="979"/>
                                </a:lnTo>
                                <a:lnTo>
                                  <a:pt x="477" y="979"/>
                                </a:lnTo>
                                <a:lnTo>
                                  <a:pt x="417" y="966"/>
                                </a:lnTo>
                                <a:lnTo>
                                  <a:pt x="393" y="953"/>
                                </a:lnTo>
                                <a:lnTo>
                                  <a:pt x="346" y="953"/>
                                </a:lnTo>
                                <a:lnTo>
                                  <a:pt x="286" y="940"/>
                                </a:lnTo>
                                <a:lnTo>
                                  <a:pt x="262" y="927"/>
                                </a:lnTo>
                                <a:lnTo>
                                  <a:pt x="214" y="915"/>
                                </a:lnTo>
                                <a:lnTo>
                                  <a:pt x="167" y="902"/>
                                </a:lnTo>
                                <a:lnTo>
                                  <a:pt x="143" y="902"/>
                                </a:lnTo>
                                <a:lnTo>
                                  <a:pt x="107" y="876"/>
                                </a:lnTo>
                                <a:lnTo>
                                  <a:pt x="59" y="863"/>
                                </a:lnTo>
                                <a:lnTo>
                                  <a:pt x="35" y="863"/>
                                </a:lnTo>
                                <a:lnTo>
                                  <a:pt x="0" y="850"/>
                                </a:lnTo>
                                <a:lnTo>
                                  <a:pt x="1538" y="528"/>
                                </a:lnTo>
                                <a:lnTo>
                                  <a:pt x="1538"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50"/>
                        <wps:cNvSpPr>
                          <a:spLocks noChangeArrowheads="1"/>
                        </wps:cNvSpPr>
                        <wps:spPr bwMode="auto">
                          <a:xfrm>
                            <a:off x="203239" y="141211"/>
                            <a:ext cx="6294456" cy="23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Default="00143D66" w:rsidP="00505BA7">
                              <w:r w:rsidRPr="002E5F92">
                                <w:rPr>
                                  <w:rFonts w:ascii="Calibri" w:hAnsi="Calibri" w:cs="Calibri"/>
                                  <w:b/>
                                  <w:bCs/>
                                  <w:color w:val="000000"/>
                                  <w:sz w:val="30"/>
                                  <w:szCs w:val="30"/>
                                  <w:lang w:val="ru-RU"/>
                                </w:rPr>
                                <w:t>Структур</w:t>
                              </w:r>
                              <w:r>
                                <w:rPr>
                                  <w:rFonts w:ascii="Calibri" w:hAnsi="Calibri" w:cs="Calibri"/>
                                  <w:b/>
                                  <w:bCs/>
                                  <w:color w:val="000000"/>
                                  <w:sz w:val="30"/>
                                  <w:szCs w:val="30"/>
                                  <w:lang w:val="ru-RU"/>
                                </w:rPr>
                                <w:t>а</w:t>
                              </w:r>
                              <w:r w:rsidRPr="008D7439">
                                <w:rPr>
                                  <w:rFonts w:ascii="Calibri" w:hAnsi="Calibri" w:cs="Calibri"/>
                                  <w:b/>
                                  <w:bCs/>
                                  <w:color w:val="000000"/>
                                  <w:sz w:val="30"/>
                                  <w:szCs w:val="30"/>
                                </w:rPr>
                                <w:t xml:space="preserve"> адміністративних</w:t>
                              </w:r>
                              <w:r>
                                <w:rPr>
                                  <w:rFonts w:ascii="Calibri" w:hAnsi="Calibri" w:cs="Calibri"/>
                                  <w:b/>
                                  <w:bCs/>
                                  <w:color w:val="000000"/>
                                  <w:sz w:val="30"/>
                                  <w:szCs w:val="30"/>
                                  <w:lang w:val="ru-RU"/>
                                </w:rPr>
                                <w:t xml:space="preserve"> справ у 2019 </w:t>
                              </w:r>
                              <w:r w:rsidRPr="00C128A5">
                                <w:rPr>
                                  <w:rFonts w:ascii="Calibri" w:hAnsi="Calibri" w:cs="Calibri"/>
                                  <w:b/>
                                  <w:bCs/>
                                  <w:color w:val="000000"/>
                                  <w:sz w:val="30"/>
                                  <w:szCs w:val="30"/>
                                </w:rPr>
                                <w:t>році</w:t>
                              </w:r>
                              <w:r w:rsidRPr="002E5F92">
                                <w:rPr>
                                  <w:rFonts w:ascii="Calibri" w:hAnsi="Calibri" w:cs="Calibri"/>
                                  <w:b/>
                                  <w:bCs/>
                                  <w:color w:val="000000"/>
                                  <w:sz w:val="30"/>
                                  <w:szCs w:val="30"/>
                                  <w:lang w:val="ru-RU"/>
                                </w:rPr>
                                <w:t xml:space="preserve"> </w:t>
                              </w:r>
                              <w:r>
                                <w:rPr>
                                  <w:rFonts w:ascii="Calibri" w:hAnsi="Calibri" w:cs="Calibri"/>
                                  <w:b/>
                                  <w:bCs/>
                                  <w:color w:val="000000"/>
                                  <w:sz w:val="30"/>
                                  <w:szCs w:val="30"/>
                                </w:rPr>
                                <w:t xml:space="preserve">щодо </w:t>
                              </w:r>
                              <w:r w:rsidRPr="00C128A5">
                                <w:rPr>
                                  <w:rFonts w:ascii="Calibri" w:hAnsi="Calibri" w:cs="Calibri"/>
                                  <w:b/>
                                  <w:bCs/>
                                  <w:color w:val="000000"/>
                                  <w:sz w:val="30"/>
                                  <w:szCs w:val="30"/>
                                </w:rPr>
                                <w:t>спорів</w:t>
                              </w:r>
                              <w:r w:rsidRPr="002E5F92">
                                <w:rPr>
                                  <w:rFonts w:ascii="Calibri" w:hAnsi="Calibri" w:cs="Calibri"/>
                                  <w:b/>
                                  <w:bCs/>
                                  <w:color w:val="000000"/>
                                  <w:sz w:val="30"/>
                                  <w:szCs w:val="30"/>
                                  <w:lang w:val="ru-RU"/>
                                </w:rPr>
                                <w:t xml:space="preserve"> з </w:t>
                              </w:r>
                            </w:p>
                          </w:txbxContent>
                        </wps:txbx>
                        <wps:bodyPr rot="0" vert="horz" wrap="square" lIns="0" tIns="0" rIns="0" bIns="0" anchor="t" anchorCtr="0">
                          <a:spAutoFit/>
                        </wps:bodyPr>
                      </wps:wsp>
                      <wps:wsp>
                        <wps:cNvPr id="32" name="Rectangle 51"/>
                        <wps:cNvSpPr>
                          <a:spLocks noChangeArrowheads="1"/>
                        </wps:cNvSpPr>
                        <wps:spPr bwMode="auto">
                          <a:xfrm>
                            <a:off x="2657938" y="415408"/>
                            <a:ext cx="760825" cy="23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Default="00143D66" w:rsidP="00505BA7">
                              <w:r w:rsidRPr="00E80B0C">
                                <w:rPr>
                                  <w:rFonts w:ascii="Calibri" w:hAnsi="Calibri" w:cs="Calibri"/>
                                  <w:b/>
                                  <w:bCs/>
                                  <w:color w:val="000000"/>
                                  <w:sz w:val="30"/>
                                  <w:szCs w:val="30"/>
                                </w:rPr>
                                <w:t>приводу</w:t>
                              </w:r>
                              <w:r>
                                <w:rPr>
                                  <w:rFonts w:ascii="Calibri" w:hAnsi="Calibri" w:cs="Calibri"/>
                                  <w:b/>
                                  <w:bCs/>
                                  <w:color w:val="000000"/>
                                  <w:sz w:val="30"/>
                                  <w:szCs w:val="30"/>
                                  <w:lang w:val="en-US"/>
                                </w:rPr>
                                <w:t>:</w:t>
                              </w:r>
                            </w:p>
                          </w:txbxContent>
                        </wps:txbx>
                        <wps:bodyPr rot="0" vert="horz" wrap="none" lIns="0" tIns="0" rIns="0" bIns="0" anchor="t" anchorCtr="0">
                          <a:spAutoFit/>
                        </wps:bodyPr>
                      </wps:wsp>
                      <wps:wsp>
                        <wps:cNvPr id="33" name="Rectangle 52"/>
                        <wps:cNvSpPr>
                          <a:spLocks noChangeArrowheads="1"/>
                        </wps:cNvSpPr>
                        <wps:spPr bwMode="auto">
                          <a:xfrm>
                            <a:off x="4051574" y="1952279"/>
                            <a:ext cx="231613" cy="123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Pr="002256E2" w:rsidRDefault="00143D66" w:rsidP="00505BA7">
                              <w:pPr>
                                <w:rPr>
                                  <w:rFonts w:ascii="Calibri" w:hAnsi="Calibri" w:cs="Calibri"/>
                                  <w:color w:val="000000"/>
                                  <w:sz w:val="16"/>
                                  <w:szCs w:val="16"/>
                                </w:rPr>
                              </w:pPr>
                              <w:r>
                                <w:rPr>
                                  <w:rFonts w:ascii="Calibri" w:hAnsi="Calibri" w:cs="Calibri"/>
                                  <w:color w:val="000000"/>
                                  <w:sz w:val="16"/>
                                  <w:szCs w:val="16"/>
                                </w:rPr>
                                <w:t>73,77</w:t>
                              </w:r>
                            </w:p>
                          </w:txbxContent>
                        </wps:txbx>
                        <wps:bodyPr rot="0" vert="horz" wrap="none" lIns="0" tIns="0" rIns="0" bIns="0" anchor="t" anchorCtr="0">
                          <a:spAutoFit/>
                        </wps:bodyPr>
                      </wps:wsp>
                      <wps:wsp>
                        <wps:cNvPr id="34" name="Rectangle 53"/>
                        <wps:cNvSpPr>
                          <a:spLocks noChangeArrowheads="1"/>
                        </wps:cNvSpPr>
                        <wps:spPr bwMode="auto">
                          <a:xfrm>
                            <a:off x="729811" y="1263361"/>
                            <a:ext cx="231613" cy="124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Pr="002256E2" w:rsidRDefault="00143D66" w:rsidP="00505BA7">
                              <w:pPr>
                                <w:rPr>
                                  <w:rFonts w:ascii="Calibri" w:hAnsi="Calibri" w:cs="Calibri"/>
                                  <w:color w:val="000000"/>
                                  <w:sz w:val="16"/>
                                  <w:szCs w:val="16"/>
                                </w:rPr>
                              </w:pPr>
                              <w:r>
                                <w:rPr>
                                  <w:rFonts w:ascii="Calibri" w:hAnsi="Calibri" w:cs="Calibri"/>
                                  <w:color w:val="000000"/>
                                  <w:sz w:val="16"/>
                                  <w:szCs w:val="16"/>
                                </w:rPr>
                                <w:t>10,17</w:t>
                              </w:r>
                            </w:p>
                          </w:txbxContent>
                        </wps:txbx>
                        <wps:bodyPr rot="0" vert="horz" wrap="none" lIns="0" tIns="0" rIns="0" bIns="0" anchor="t" anchorCtr="0">
                          <a:spAutoFit/>
                        </wps:bodyPr>
                      </wps:wsp>
                      <wps:wsp>
                        <wps:cNvPr id="35" name="Rectangle 54"/>
                        <wps:cNvSpPr>
                          <a:spLocks noChangeArrowheads="1"/>
                        </wps:cNvSpPr>
                        <wps:spPr bwMode="auto">
                          <a:xfrm>
                            <a:off x="1383078" y="830130"/>
                            <a:ext cx="180143" cy="123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Pr="00BD4DF6" w:rsidRDefault="00143D66" w:rsidP="00505BA7">
                              <w:r>
                                <w:rPr>
                                  <w:rFonts w:ascii="Calibri" w:hAnsi="Calibri" w:cs="Calibri"/>
                                  <w:color w:val="000000"/>
                                  <w:sz w:val="16"/>
                                  <w:szCs w:val="16"/>
                                </w:rPr>
                                <w:t>4,45</w:t>
                              </w:r>
                            </w:p>
                          </w:txbxContent>
                        </wps:txbx>
                        <wps:bodyPr rot="0" vert="horz" wrap="none" lIns="0" tIns="0" rIns="0" bIns="0" anchor="t" anchorCtr="0">
                          <a:spAutoFit/>
                        </wps:bodyPr>
                      </wps:wsp>
                      <wps:wsp>
                        <wps:cNvPr id="36" name="Rectangle 55"/>
                        <wps:cNvSpPr>
                          <a:spLocks noChangeArrowheads="1"/>
                        </wps:cNvSpPr>
                        <wps:spPr bwMode="auto">
                          <a:xfrm>
                            <a:off x="1847623" y="759524"/>
                            <a:ext cx="180803" cy="124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Pr="00C80050" w:rsidRDefault="00143D66" w:rsidP="00505BA7">
                              <w:pPr>
                                <w:rPr>
                                  <w:rFonts w:ascii="Calibri" w:hAnsi="Calibri" w:cs="Calibri"/>
                                  <w:color w:val="000000"/>
                                  <w:sz w:val="16"/>
                                  <w:szCs w:val="16"/>
                                </w:rPr>
                              </w:pPr>
                              <w:r>
                                <w:rPr>
                                  <w:rFonts w:ascii="Calibri" w:hAnsi="Calibri" w:cs="Calibri"/>
                                  <w:color w:val="000000"/>
                                  <w:sz w:val="16"/>
                                  <w:szCs w:val="16"/>
                                </w:rPr>
                                <w:t>3,66</w:t>
                              </w:r>
                            </w:p>
                          </w:txbxContent>
                        </wps:txbx>
                        <wps:bodyPr rot="0" vert="horz" wrap="none" lIns="0" tIns="0" rIns="0" bIns="0" anchor="t" anchorCtr="0">
                          <a:spAutoFit/>
                        </wps:bodyPr>
                      </wps:wsp>
                      <wps:wsp>
                        <wps:cNvPr id="37" name="Rectangle 56"/>
                        <wps:cNvSpPr>
                          <a:spLocks noChangeArrowheads="1"/>
                        </wps:cNvSpPr>
                        <wps:spPr bwMode="auto">
                          <a:xfrm>
                            <a:off x="2264658" y="733476"/>
                            <a:ext cx="180143" cy="124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Pr="00EC44C4" w:rsidRDefault="00143D66" w:rsidP="00505BA7">
                              <w:r>
                                <w:rPr>
                                  <w:rFonts w:ascii="Calibri" w:hAnsi="Calibri" w:cs="Calibri"/>
                                  <w:color w:val="000000"/>
                                  <w:sz w:val="16"/>
                                  <w:szCs w:val="16"/>
                                </w:rPr>
                                <w:t>2,46</w:t>
                              </w:r>
                            </w:p>
                          </w:txbxContent>
                        </wps:txbx>
                        <wps:bodyPr rot="0" vert="horz" wrap="none" lIns="0" tIns="0" rIns="0" bIns="0" anchor="t" anchorCtr="0">
                          <a:spAutoFit/>
                        </wps:bodyPr>
                      </wps:wsp>
                      <wps:wsp>
                        <wps:cNvPr id="38" name="Rectangle 57"/>
                        <wps:cNvSpPr>
                          <a:spLocks noChangeArrowheads="1"/>
                        </wps:cNvSpPr>
                        <wps:spPr bwMode="auto">
                          <a:xfrm>
                            <a:off x="343790" y="2579504"/>
                            <a:ext cx="79184" cy="8842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8"/>
                        <wps:cNvSpPr>
                          <a:spLocks noChangeArrowheads="1"/>
                        </wps:cNvSpPr>
                        <wps:spPr bwMode="auto">
                          <a:xfrm>
                            <a:off x="453987" y="2534947"/>
                            <a:ext cx="5238671" cy="29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Default="00143D66" w:rsidP="00505BA7">
                              <w:r w:rsidRPr="002256E2">
                                <w:rPr>
                                  <w:b/>
                                  <w:bCs/>
                                  <w:color w:val="000000"/>
                                  <w:sz w:val="20"/>
                                  <w:szCs w:val="20"/>
                                </w:rPr>
                                <w:t>Справи зі спорів з приводу забезпечення громадського порядку та безпеки, національної безпеки та оборони України</w:t>
                              </w:r>
                            </w:p>
                          </w:txbxContent>
                        </wps:txbx>
                        <wps:bodyPr rot="0" vert="horz" wrap="square" lIns="0" tIns="0" rIns="0" bIns="0" anchor="t" anchorCtr="0">
                          <a:spAutoFit/>
                        </wps:bodyPr>
                      </wps:wsp>
                      <wps:wsp>
                        <wps:cNvPr id="40" name="Rectangle 59"/>
                        <wps:cNvSpPr>
                          <a:spLocks noChangeArrowheads="1"/>
                        </wps:cNvSpPr>
                        <wps:spPr bwMode="auto">
                          <a:xfrm>
                            <a:off x="343790" y="2853015"/>
                            <a:ext cx="79184" cy="88428"/>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0"/>
                        <wps:cNvSpPr>
                          <a:spLocks noChangeArrowheads="1"/>
                        </wps:cNvSpPr>
                        <wps:spPr bwMode="auto">
                          <a:xfrm>
                            <a:off x="453987" y="2809143"/>
                            <a:ext cx="2825544" cy="14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Default="00143D66" w:rsidP="00505BA7">
                              <w:r w:rsidRPr="002256E2">
                                <w:rPr>
                                  <w:b/>
                                  <w:bCs/>
                                  <w:color w:val="000000"/>
                                  <w:sz w:val="20"/>
                                  <w:szCs w:val="20"/>
                                </w:rPr>
                                <w:t>Справи щодо виборчого процесу та референдуму</w:t>
                              </w:r>
                            </w:p>
                          </w:txbxContent>
                        </wps:txbx>
                        <wps:bodyPr rot="0" vert="horz" wrap="none" lIns="0" tIns="0" rIns="0" bIns="0" anchor="t" anchorCtr="0">
                          <a:spAutoFit/>
                        </wps:bodyPr>
                      </wps:wsp>
                      <wps:wsp>
                        <wps:cNvPr id="42" name="Rectangle 61"/>
                        <wps:cNvSpPr>
                          <a:spLocks noChangeArrowheads="1"/>
                        </wps:cNvSpPr>
                        <wps:spPr bwMode="auto">
                          <a:xfrm>
                            <a:off x="343790" y="3118300"/>
                            <a:ext cx="79184" cy="88428"/>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2"/>
                        <wps:cNvSpPr>
                          <a:spLocks noChangeArrowheads="1"/>
                        </wps:cNvSpPr>
                        <wps:spPr bwMode="auto">
                          <a:xfrm>
                            <a:off x="453987" y="3073743"/>
                            <a:ext cx="5806815" cy="14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Default="00143D66" w:rsidP="00505BA7">
                              <w:r w:rsidRPr="002256E2">
                                <w:rPr>
                                  <w:b/>
                                  <w:bCs/>
                                  <w:color w:val="000000"/>
                                  <w:sz w:val="20"/>
                                  <w:szCs w:val="20"/>
                                </w:rPr>
                                <w:t>Справи з приводу реалізації державної політики у сфері економіки та публічної фінансової політики</w:t>
                              </w:r>
                            </w:p>
                          </w:txbxContent>
                        </wps:txbx>
                        <wps:bodyPr rot="0" vert="horz" wrap="none" lIns="0" tIns="0" rIns="0" bIns="0" anchor="t" anchorCtr="0">
                          <a:spAutoFit/>
                        </wps:bodyPr>
                      </wps:wsp>
                      <wps:wsp>
                        <wps:cNvPr id="44" name="Rectangle 63"/>
                        <wps:cNvSpPr>
                          <a:spLocks noChangeArrowheads="1"/>
                        </wps:cNvSpPr>
                        <wps:spPr bwMode="auto">
                          <a:xfrm>
                            <a:off x="343790" y="3391811"/>
                            <a:ext cx="79184" cy="88428"/>
                          </a:xfrm>
                          <a:prstGeom prst="rect">
                            <a:avLst/>
                          </a:prstGeom>
                          <a:solidFill>
                            <a:srgbClr val="00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4"/>
                        <wps:cNvSpPr>
                          <a:spLocks noChangeArrowheads="1"/>
                        </wps:cNvSpPr>
                        <wps:spPr bwMode="auto">
                          <a:xfrm>
                            <a:off x="453987" y="3347940"/>
                            <a:ext cx="4609160" cy="14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Default="00143D66" w:rsidP="00505BA7">
                              <w:r w:rsidRPr="002256E2">
                                <w:rPr>
                                  <w:b/>
                                  <w:bCs/>
                                  <w:color w:val="000000"/>
                                  <w:sz w:val="20"/>
                                  <w:szCs w:val="20"/>
                                </w:rPr>
                                <w:t>Справи з приводу регулюванню містобудівної діяльності та землекористування</w:t>
                              </w:r>
                            </w:p>
                          </w:txbxContent>
                        </wps:txbx>
                        <wps:bodyPr rot="0" vert="horz" wrap="none" lIns="0" tIns="0" rIns="0" bIns="0" anchor="t" anchorCtr="0">
                          <a:spAutoFit/>
                        </wps:bodyPr>
                      </wps:wsp>
                      <wps:wsp>
                        <wps:cNvPr id="46" name="Rectangle 65"/>
                        <wps:cNvSpPr>
                          <a:spLocks noChangeArrowheads="1"/>
                        </wps:cNvSpPr>
                        <wps:spPr bwMode="auto">
                          <a:xfrm>
                            <a:off x="343790" y="3670121"/>
                            <a:ext cx="79184" cy="8842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6"/>
                        <wps:cNvSpPr>
                          <a:spLocks noChangeArrowheads="1"/>
                        </wps:cNvSpPr>
                        <wps:spPr bwMode="auto">
                          <a:xfrm>
                            <a:off x="453987" y="3612539"/>
                            <a:ext cx="3901784" cy="146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D66" w:rsidRPr="00703C77" w:rsidRDefault="00143D66" w:rsidP="00505BA7">
                              <w:pPr>
                                <w:rPr>
                                  <w:lang w:val="ru-RU"/>
                                </w:rPr>
                              </w:pPr>
                              <w:r w:rsidRPr="002256E2">
                                <w:rPr>
                                  <w:b/>
                                  <w:bCs/>
                                  <w:color w:val="000000"/>
                                  <w:sz w:val="20"/>
                                  <w:szCs w:val="20"/>
                                </w:rPr>
                                <w:t>Справи з приводу охорони навколишнього природного середовища</w:t>
                              </w:r>
                            </w:p>
                          </w:txbxContent>
                        </wps:txbx>
                        <wps:bodyPr rot="0" vert="horz" wrap="none" lIns="0" tIns="0" rIns="0" bIns="0" anchor="t" anchorCtr="0">
                          <a:spAutoFit/>
                        </wps:bodyPr>
                      </wps:wsp>
                    </wpc:wpc>
                  </a:graphicData>
                </a:graphic>
              </wp:inline>
            </w:drawing>
          </mc:Choice>
          <mc:Fallback>
            <w:pict>
              <v:group id="Полотно 35" o:spid="_x0000_s1026" editas="canvas" style="width:530.75pt;height:310.9pt;mso-position-horizontal-relative:char;mso-position-vertical-relative:line" coordsize="67405,3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05;height:39484;visibility:visible;mso-wrap-style:square">
                  <v:fill o:detectmouseclick="t"/>
                  <v:path o:connecttype="none"/>
                </v:shape>
                <v:rect id="Rectangle 37" o:spid="_x0000_s1028" style="position:absolute;left:1405;top:438;width:65723;height:38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38" o:spid="_x0000_s1029" style="position:absolute;left:10287;top:8568;width:31568;height:14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shape id="Freeform 39" o:spid="_x0000_s1030" style="position:absolute;left:22567;top:9096;width:2989;height:7424;visibility:visible;mso-wrap-style:square;v-text-anchor:top" coordsize="453,1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p+L8A&#10;AADbAAAADwAAAGRycy9kb3ducmV2LnhtbERPTYvCMBC9C/6HMII3myruItUoIgh7EETdw3obmzEt&#10;JpPSZGv99+awsMfH+15temdFR22oPSuYZjkI4tLrmo2C78t+sgARIrJG65kUvCjAZj0crLDQ/skn&#10;6s7RiBTCoUAFVYxNIWUoK3IYMt8QJ+7uW4cxwdZI3eIzhTsrZ3n+KR3WnBoqbGhXUfk4/zoFOr/o&#10;uTnQh40/15s2R+7siZUaj/rtEkSkPv6L/9xfWsEsrU9f0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NKn4vwAAANsAAAAPAAAAAAAAAAAAAAAAAJgCAABkcnMvZG93bnJl&#10;di54bWxQSwUGAAAAAAQABAD1AAAAhAMAAAAA&#10;" path="m453,516l,,,567r453,516l453,516xe" fillcolor="olive" stroked="f">
                  <v:path arrowok="t" o:connecttype="custom" o:connectlocs="298919,353713;0,0;0,388674;298919,742387;298919,353713" o:connectangles="0,0,0,0,0"/>
                </v:shape>
                <v:shape id="Freeform 40" o:spid="_x0000_s1031" style="position:absolute;left:22488;top:9007;width:2283;height:2934;visibility:visible;mso-wrap-style:square;v-text-anchor:top" coordsize="465,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CV8QA&#10;AADbAAAADwAAAGRycy9kb3ducmV2LnhtbESPQWvCQBSE7wX/w/KE3urGQIumriJCixR60BSxt0f2&#10;NUnNvg3ZZ0z/vSsIPQ4z8w2zWA2uUT11ofZsYDpJQBEX3tZcGvjK355moIIgW2w8k4E/CrBajh4W&#10;mFl/4R31eylVhHDI0EAl0mZah6Iih2HiW+Lo/fjOoUTZldp2eIlw1+g0SV60w5rjQoUtbSoqTvuz&#10;M5Dk6fH3WTgP84/++/M0O4i8H4x5HA/rV1BCg/yH7+2tNZBO4f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IwlfEAAAA2wAAAA8AAAAAAAAAAAAAAAAAmAIAAGRycy9k&#10;b3ducmV2LnhtbFBLBQYAAAAABAAEAPUAAACJAwAAAAA=&#10;" path="m,13r72,l96,13,167,r36,l263,r35,l358,r36,l465,r,529l,13xe" fillcolor="yellow" stroked="f">
                  <v:path arrowok="t" o:connecttype="custom" o:connectlocs="0,7210;35352,7210;47136,7210;81996,0;99672,0;129132,0;146317,0;175776,0;193452,0;228313,0;228313,293390;0,7210" o:connectangles="0,0,0,0,0,0,0,0,0,0,0,0"/>
                </v:shape>
                <v:shape id="Freeform 41" o:spid="_x0000_s1032" style="position:absolute;left:18555;top:9542;width:6216;height:7067;visibility:visible;mso-wrap-style:square;v-text-anchor:top" coordsize="942,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sHcQA&#10;AADbAAAADwAAAGRycy9kb3ducmV2LnhtbESPQWvCQBSE74L/YXmCF9FN0yISXUUrpb0UMYrg7ZF9&#10;ZoPZtyG71fTfdwuCx2FmvmEWq87W4katrxwreJkkIIgLpysuFRwPH+MZCB+QNdaOScEveVgt+70F&#10;ZtrdeU+3PJQiQthnqMCE0GRS+sKQRT9xDXH0Lq61GKJsS6lbvEe4rWWaJFNpseK4YLChd0PFNf+x&#10;Cjb1ujPb81Ff6LN5O412r7PvMys1HHTrOYhAXXiGH+0vrSBN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5rB3EAAAA2wAAAA8AAAAAAAAAAAAAAAAAmAIAAGRycy9k&#10;b3ducmV2LnhtbFBLBQYAAAAABAAEAPUAAACJAwAAAAA=&#10;" path="m942,464l,,,567r942,464l942,464xe" fillcolor="green" stroked="f">
                  <v:path arrowok="t" o:connecttype="custom" o:connectlocs="621593,318068;0,0;0,388674;621593,706742;621593,318068" o:connectangles="0,0,0,0,0"/>
                </v:shape>
                <v:shape id="Freeform 42" o:spid="_x0000_s1033" style="position:absolute;left:18634;top:9185;width:6137;height:3448;visibility:visible;mso-wrap-style:square;v-text-anchor:top" coordsize="954,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gcMA&#10;AADbAAAADwAAAGRycy9kb3ducmV2LnhtbESPT4vCMBTE78J+h/AEb5pWQXerUVQQPHjxz94fzdum&#10;tHkpTdZWP71ZWPA4zMxvmNWmt7W4U+tLxwrSSQKCOHe65ELB7XoYf4LwAVlj7ZgUPMjDZv0xWGGm&#10;Xcdnul9CISKEfYYKTAhNJqXPDVn0E9cQR+/HtRZDlG0hdYtdhNtaTpNkLi2WHBcMNrQ3lFeXX6ug&#10;Mucq7xa73Tw89n77fTqkX89UqdGw3y5BBOrDO/zfPmoF0xn8fY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fgcMAAADbAAAADwAAAAAAAAAAAAAAAACYAgAAZHJzL2Rv&#10;d25yZXYueG1sUEsFBgAAAAAEAAQA9QAAAIgDAAAAAA==&#10;" path="m,52r36,l95,39r24,l155,39,214,26r24,l274,26,334,13r36,l393,13,465,r24,l954,516,,52xe" fillcolor="lime" stroked="f">
                  <v:path arrowok="t" o:connecttype="custom" o:connectlocs="0,34747;23158,34747;61110,26061;76549,26061;99706,26061;137659,17374;153097,17374;176255,17374;214851,8687;238008,8687;252803,8687;299118,0;314557,0;613675,344802;0,34747" o:connectangles="0,0,0,0,0,0,0,0,0,0,0,0,0,0,0"/>
                </v:shape>
                <v:shape id="Freeform 43" o:spid="_x0000_s1034" style="position:absolute;left:14853;top:10337;width:9133;height:6354;visibility:visible;mso-wrap-style:square;v-text-anchor:top" coordsize="1384,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69cMA&#10;AADbAAAADwAAAGRycy9kb3ducmV2LnhtbESPT2sCMRTE7wW/Q3hCL0WzXVqV1ShSEAqe/Hd/bp6b&#10;xc3LmsR120/fFAo9DjPzG2ax6m0jOvKhdqzgdZyBIC6drrlScDxsRjMQISJrbByTgi8KsFoOnhZY&#10;aPfgHXX7WIkE4VCgAhNjW0gZSkMWw9i1xMm7OG8xJukrqT0+Etw2Ms+yibRYc1ow2NKHofK6v1sF&#10;750/z6a93ZkXzG7fp3p7zd1Wqedhv56DiNTH//Bf+1MryN/g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d69cMAAADbAAAADwAAAAAAAAAAAAAAAACYAgAAZHJzL2Rv&#10;d25yZXYueG1sUEsFBgAAAAAEAAQA9QAAAIgDAAAAAA==&#10;" path="m1384,360l,,,567,1384,927r,-567xe" fillcolor="#1a3380" stroked="f">
                  <v:path arrowok="t" o:connecttype="custom" o:connectlocs="913254,246777;0,0;0,388673;913254,635450;913254,246777" o:connectangles="0,0,0,0,0"/>
                </v:shape>
                <v:shape id="Freeform 44" o:spid="_x0000_s1035" style="position:absolute;left:14774;top:9631;width:9997;height:4243;visibility:visible;mso-wrap-style:square;v-text-anchor:top" coordsize="1396,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dTsUA&#10;AADbAAAADwAAAGRycy9kb3ducmV2LnhtbESPQWvCQBSE74L/YXkFb7oxoITUVUpFFNqC2ir09pp9&#10;TRazb0N2q8m/7xaEHoeZ+YZZrDpbiyu13jhWMJ0kIIgLpw2XCj7eN+MMhA/IGmvHpKAnD6vlcLDA&#10;XLsbH+h6DKWIEPY5KqhCaHIpfVGRRT9xDXH0vl1rMUTZllK3eItwW8s0SebSouG4UGFDzxUVl+OP&#10;VXB6dXvs5+Zz/fVyfstCarbZtFdq9NA9PYII1IX/8L290wrSG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x1OxQAAANsAAAAPAAAAAAAAAAAAAAAAAJgCAABkcnMv&#10;ZG93bnJldi54bWxQSwUGAAAAAAQABAD1AAAAigMAAAAA&#10;" path="m,103l24,90,72,77r24,l143,64,179,51r48,l251,38r23,l334,25,358,12r60,l441,r955,463l,103xe" fillcolor="#36f" stroked="f">
                  <v:path arrowok="t" o:connecttype="custom" o:connectlocs="0,94395;17187,82481;51560,70567;68747,70567;102404,58653;128185,46739;162558,46739;179745,34825;196215,34825;239182,22911;256369,10997;299336,10997;315807,0;999696,424319;0,94395" o:connectangles="0,0,0,0,0,0,0,0,0,0,0,0,0,0,0"/>
                </v:shape>
                <v:shape id="Freeform 45" o:spid="_x0000_s1036" style="position:absolute;left:10287;top:13428;width:2362;height:6005;visibility:visible;mso-wrap-style:square;v-text-anchor:top" coordsize="358,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y2sMA&#10;AADbAAAADwAAAGRycy9kb3ducmV2LnhtbESPQYvCMBSE7wv+h/CEvSyargdZq1FEurAHL3b14O3R&#10;PNti81KS2NZ/bwTB4zAz3zCrzWAa0ZHztWUF39MEBHFhdc2lguP/7+QHhA/IGhvLpOBOHjbr0ccK&#10;U217PlCXh1JECPsUFVQhtKmUvqjIoJ/aljh6F+sMhihdKbXDPsJNI2dJMpcGa44LFba0q6i45jej&#10;4HTO71m/b1zmsm5xvJgvak83pT7Hw3YJItAQ3uFX+08rmM3h+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1y2sMAAADbAAAADwAAAAAAAAAAAAAAAACYAgAAZHJzL2Rv&#10;d25yZXYueG1sUEsFBgAAAAAEAAQA9QAAAIgDAAAAAA==&#10;" path="m358,309l322,296,298,283,263,270,251,257,215,244,203,232,179,219,155,206,131,193,119,180,96,167r,-13l72,141,60,129,48,116,36,103,24,90r,-13l12,64r,-13l,38,,25,,,,,,567r,l,592r,13l12,618r,13l24,644r,13l36,670r12,13l60,695r12,13l96,721r,13l119,747r12,13l155,773r24,13l203,799r12,12l251,824r12,13l298,850r24,13l358,876r,-567xe" fillcolor="#804d00" stroked="f">
                  <v:path arrowok="t" o:connecttype="custom" o:connectlocs="236232,211817;212477,202905;196640,193994;173545,185083;165626,176171;141871,167260;133953,159034;118116,150123;102279,141211;86442,132300;78524,123388;63347,114477;63347,105566;47510,96654;39592,88428;31674,79517;23755,70606;15837,61694;15837,52783;7918,43871;7918,34960;0,26049;0,17137;0,0;0,0;0,388673;0,388673;0,405811;0,414722;7918,423633;7918,432545;15837,441456;15837,450368;23755,459279;31674,468190;39592,476416;47510,485328;63347,494239;63347,503150;78524,512062;86442,520973;102279,529884;118116,538796;133953,547707;141871,555933;165626,564844;173545,573756;196640,582667;212477,591579;236232,600490;236232,211817" o:connectangles="0,0,0,0,0,0,0,0,0,0,0,0,0,0,0,0,0,0,0,0,0,0,0,0,0,0,0,0,0,0,0,0,0,0,0,0,0,0,0,0,0,0,0,0,0,0,0,0,0,0,0"/>
                </v:shape>
                <v:shape id="Freeform 46" o:spid="_x0000_s1037" style="position:absolute;left:12728;top:13428;width:10076;height:6005;visibility:visible;mso-wrap-style:square;v-text-anchor:top" coordsize="1527,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KsMA&#10;AADbAAAADwAAAGRycy9kb3ducmV2LnhtbESPQWsCMRSE74L/ITyht5pVqMpqFLWU1npy24PHx+Z1&#10;s3TzEjapu/77RhA8DjPzDbPa9LYRF2pD7VjBZJyBIC6drrlS8P319rwAESKyxsYxKbhSgM16OFhh&#10;rl3HJ7oUsRIJwiFHBSZGn0sZSkMWw9h54uT9uNZiTLKtpG6xS3DbyGmWzaTFmtOCQU97Q+Vv8WcV&#10;dGf9criWx7l9j/51tisOjfn0Sj2N+u0SRKQ+PsL39odWMJ3D7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0KsMAAADbAAAADwAAAAAAAAAAAAAAAACYAgAAZHJzL2Rv&#10;d25yZXYueG1sUEsFBgAAAAAEAAQA9QAAAIgDAAAAAA==&#10;" path="m1527,l,309,,876,1527,567,1527,xe" fillcolor="#804d00" stroked="f">
                  <v:path arrowok="t" o:connecttype="custom" o:connectlocs="1007614,0;0,211817;0,600490;1007614,388673;1007614,0" o:connectangles="0,0,0,0,0"/>
                </v:shape>
                <v:shape id="Freeform 47" o:spid="_x0000_s1038" style="position:absolute;left:10287;top:10954;width:12517;height:4682;visibility:visible;mso-wrap-style:square;v-text-anchor:top" coordsize="189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XojMQA&#10;AADbAAAADwAAAGRycy9kb3ducmV2LnhtbESPwWrCQBCG7wXfYRmhl6Kb5lBqdBURCkILxVR6HrNj&#10;NpidjdnVpG/fORR6HP75v5lvtRl9q+7Uxyawged5Boq4Crbh2sDx6232CiomZIttYDLwQxE268nD&#10;CgsbBj7QvUy1EgjHAg24lLpC61g58hjnoSOW7Bx6j0nGvta2x0HgvtV5lr1ojw3LBYcd7RxVl/Lm&#10;hVIuvsvzE30Oi/fDB+bXiz65ozGP03G7BJVoTP/Lf+29NZDLs+IiHq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16IzEAAAA2wAAAA8AAAAAAAAAAAAAAAAAmAIAAGRycy9k&#10;b3ducmV2LnhtbFBLBQYAAAAABAAEAPUAAACJAwAAAAA=&#10;" path="m358,683l322,657r-24,l263,644,239,618r-24,l191,593,155,580,143,567,119,554,108,541,96,528,72,515,60,502,48,490,36,464,24,451,12,438r,-13l,412,,386,,374,,361,,348,,322r,l12,296r,-13l24,270,36,258,48,245,60,232,84,206,96,193r12,-13l131,167r12,-13l179,142r24,-26l215,116,251,90r12,l298,77,346,51r12,l394,39,442,26,465,13,501,,1897,361,358,683xe" fillcolor="#f90" stroked="f">
                  <v:path arrowok="t" o:connecttype="custom" o:connectlocs="236232,468191;212477,450368;196640,450368;173545,441457;157708,423634;141871,423634;126034,406497;102279,397585;94361,388674;78524,379763;71265,370851;63347,361940;47510,353028;39592,344117;31674,335891;23755,318068;15837,309157;7918,300245;7918,291334;0,282423;0,264600;0,256374;0,247463;0,238551;0,220728;0,220728;7918,202906;7918,193994;15837,185083;23755,176857;31674,167946;39592,159034;55429,141211;63347,132300;71265,123389;86442,114477;94361,105566;118116,97340;133953,79517;141871,79517;165626,61694;173545,61694;196640,52783;228313,34960;236232,34960;259987,26734;291661,17823;306837,8911;330593,0;1251765,247463;236232,468191" o:connectangles="0,0,0,0,0,0,0,0,0,0,0,0,0,0,0,0,0,0,0,0,0,0,0,0,0,0,0,0,0,0,0,0,0,0,0,0,0,0,0,0,0,0,0,0,0,0,0,0,0,0,0"/>
                </v:shape>
                <v:shape id="Freeform 48" o:spid="_x0000_s1039" style="position:absolute;left:18634;top:13874;width:22666;height:7506;visibility:visible;mso-wrap-style:square;v-text-anchor:top" coordsize="3435,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We8MA&#10;AADbAAAADwAAAGRycy9kb3ducmV2LnhtbESPwWrDMBBE74X8g9hAbo1sE9LWtWxCSKC3pnY+YLG2&#10;tltrZSQlcf6+KhR6HGbmDVNUsxnFlZwfLCtI1wkI4tbqgTsF5+b4+AzCB2SNo2VScCcPVbl4KDDX&#10;9sYfdK1DJyKEfY4K+hCmXErf9mTQr+1EHL1P6wyGKF0ntcNbhJtRZkmylQYHjgs9TrTvqf2uL0ZB&#10;aN79edtlp+bwtDk693Wf01Ot1Go5715BBJrDf/iv/aYVZC/w+yX+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ZWe8MAAADbAAAADwAAAAAAAAAAAAAAAACYAgAAZHJzL2Rv&#10;d25yZXYueG1sUEsFBgAAAAAEAAQA9QAAAIgDAAAAAA==&#10;" path="m3435,r,13l3435,26r-12,13l3423,64r-12,l3399,90r-12,13l3387,116r-23,13l3352,155r-12,l3316,180r-24,13l3280,206r-24,13l3244,232r-35,13l3173,258r-12,13l3125,283r-36,13l3065,309r-35,13l2994,335r-24,13l2922,361r-47,13l2851,374r-48,13l2755,399r-24,13l2672,412r-48,13l2600,438r-60,13l2481,451r-24,13l2397,464r-59,13l2302,477r-60,13l2183,490r-24,13l2087,503r-24,l1992,515r-60,l1896,515r-59,l1765,515r-36,13l1670,528r-72,l1574,528r-71,l1431,528r-24,l1336,528r-60,-13l1240,515r-71,l1109,515r-36,l1014,503r-60,l918,503,859,490,799,477r-36,l703,477,644,464r-24,l560,451r-36,l477,438,417,425,393,412r-47,l286,399,262,387,214,374,167,361r-24,l107,348,59,335,35,322,,309,,876r35,13l59,902r48,13l143,928r24,l214,941r48,13l286,966r60,13l393,979r24,13l477,1005r47,13l560,1018r60,13l644,1031r59,13l763,1044r36,l859,1057r59,13l954,1070r60,l1073,1082r36,l1169,1082r71,l1276,1082r60,13l1407,1095r24,l1503,1095r71,l1598,1095r72,l1729,1095r36,-13l1837,1082r59,l1932,1082r60,l2063,1070r24,l2159,1070r24,-13l2242,1057r60,-13l2338,1044r59,-13l2457,1031r24,-13l2540,1018r60,-13l2624,992r48,-13l2731,979r24,-13l2803,954r48,-13l2875,941r47,-13l2970,915r24,-13l3030,889r35,-13l3089,863r36,-13l3161,838r12,-13l3209,812r35,-13l3256,786r24,-13l3292,760r24,-13l3340,722r12,l3364,696r23,-13l3387,670r12,-13l3411,631r12,l3423,606r12,-13l3435,580r,-13l3435,xe" fillcolor="maroon" stroked="f">
                  <v:path arrowok="t" o:connecttype="custom" o:connectlocs="2266638,17823;2250801,43871;2234964,79517;2203951,106251;2164359,141211;2117508,167945;2062080,193994;1999392,220728;1928127,247462;1849603,265285;1763161,282422;1676058,309157;1581698,318068;1479418,335891;1377139,344802;1274860,353028;1164663,353028;1054465,361939;944268,361939;841988,353028;731791,353028;629512,344802;527233,326979;424953,318068;345770,309157;259327,282422;172885,265285;94361,247462;23095,220728;23095,609402;94361,636136;172885,653959;259327,671096;345770,697830;424953,706742;527233,715653;629512,733476;731791,741702;841988,741702;944268,750613;1054465,750613;1164663,741702;1274860,741702;1377139,733476;1479418,724564;1581698,706742;1676058,697830;1763161,671096;1849603,653959;1928127,636136;1999392,609402;2062080,582668;2117508,556619;2164359,529885;2203951,494925;2234964,468191;2250801,432545;2266638,406496;2266638,0" o:connectangles="0,0,0,0,0,0,0,0,0,0,0,0,0,0,0,0,0,0,0,0,0,0,0,0,0,0,0,0,0,0,0,0,0,0,0,0,0,0,0,0,0,0,0,0,0,0,0,0,0,0,0,0,0,0,0,0,0,0,0"/>
                </v:shape>
                <v:shape id="Freeform 49" o:spid="_x0000_s1040" style="position:absolute;left:18634;top:10337;width:22666;height:7328;visibility:visible;mso-wrap-style:square;v-text-anchor:top" coordsize="3435,10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fEsIA&#10;AADbAAAADwAAAGRycy9kb3ducmV2LnhtbERPy2oCMRTdC/5DuII7zahlKKNRqiCVcVUtiLvL5DqP&#10;Tm6GJNVpv75ZFFweznu16U0r7uR8bVnBbJqAIC6srrlU8HneT15B+ICssbVMCn7Iw2Y9HKww0/bB&#10;H3Q/hVLEEPYZKqhC6DIpfVGRQT+1HXHkbtYZDBG6UmqHjxhuWjlPklQarDk2VNjRrqLi6/RtFFxd&#10;2rzP8m2eNrv55fhy+D02eaPUeNS/LUEE6sNT/O8+aA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R8SwgAAANsAAAAPAAAAAAAAAAAAAAAAAJgCAABkcnMvZG93&#10;bnJldi54bWxQSwUGAAAAAAQABAD1AAAAhwMAAAAA&#10;" path="m1538,r60,l1634,r71,l1765,r36,l1861,r71,13l1968,13r60,l2087,25r36,l2183,25r59,13l2278,38r60,13l2397,51r24,13l2481,64r59,13l2564,77r60,13l2672,103r35,13l2755,116r24,13l2827,141r48,13l2898,154r48,13l2994,193r12,l3053,206r36,13l3113,232r36,12l3173,257r24,13l3220,283r36,26l3268,309r24,26l3316,348r12,12l3352,373r12,26l3376,399r11,26l3399,438r12,13l3423,464r,25l3423,489r12,26l3435,528r,13l3435,554r-12,26l3423,592r-12,13l3399,618r,13l3387,657r-23,13l3364,683r-24,12l3316,708r-12,13l3280,734r-24,26l3244,760r-35,26l3197,786r-36,25l3125,824r-12,l3065,850r-35,13l3006,863r-36,13l2922,902r-24,l2851,915r-48,12l2779,940r-48,13l2672,953r-24,13l2600,979r-60,l2517,992r-60,13l2397,1005r-35,13l2302,1018r-60,13l2218,1031r-59,l2087,1043r-24,l1992,1056r-60,l1896,1056r-59,l1765,1056r-36,13l1670,1069r-72,l1574,1069r-71,l1431,1069r-24,l1336,1069r-60,-13l1240,1056r-71,l1109,1056r-36,l1014,1043r-36,l918,1031r-59,l823,1031r-60,-13l703,1018r-23,-13l620,1005,560,992,524,979r-47,l417,966,393,953r-47,l286,940,262,927,214,915,167,902r-24,l107,876,59,863r-24,l,850,1538,528,1538,xe" fillcolor="red" stroked="f">
                  <v:path arrowok="t" o:connecttype="custom" o:connectlocs="1078220,0;1188418,0;1298615,8911;1400894,17137;1503174,26049;1597534,43871;1691895,52783;1786256,79517;1865440,96654;1943964,114477;2014569,141211;2077916,167260;2124767,193994;2172277,229640;2211869,255688;2234964,291334;2258720,318068;2266638,353028;2266638,379762;2250801,414722;2234964,450368;2203951,476416;2164359,503150;2117508,538796;2062080,564845;1999392,591579;1928127,618313;1849603,635450;1763161,653273;1676058,671096;1581698,688919;1479418,706741;1377139,714967;1274860,723879;1164663,723879;1054465,732790;944268,732790;841988,723879;731791,723879;645348,714967;543069,706741;448709,688919;345770,671096;259327,653273;172885,635450;94361,618313;23095,591579;1014873,0" o:connectangles="0,0,0,0,0,0,0,0,0,0,0,0,0,0,0,0,0,0,0,0,0,0,0,0,0,0,0,0,0,0,0,0,0,0,0,0,0,0,0,0,0,0,0,0,0,0,0,0"/>
                </v:shape>
                <v:rect id="Rectangle 50" o:spid="_x0000_s1041" style="position:absolute;left:2032;top:1412;width:62944;height:2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fM8QA&#10;AADbAAAADwAAAGRycy9kb3ducmV2LnhtbESPQWvCQBSE70L/w/IKvYhuVBC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tXzPEAAAA2wAAAA8AAAAAAAAAAAAAAAAAmAIAAGRycy9k&#10;b3ducmV2LnhtbFBLBQYAAAAABAAEAPUAAACJAwAAAAA=&#10;" filled="f" stroked="f">
                  <v:textbox style="mso-fit-shape-to-text:t" inset="0,0,0,0">
                    <w:txbxContent>
                      <w:p w:rsidR="00143D66" w:rsidRDefault="00143D66" w:rsidP="00505BA7">
                        <w:r w:rsidRPr="002E5F92">
                          <w:rPr>
                            <w:rFonts w:ascii="Calibri" w:hAnsi="Calibri" w:cs="Calibri"/>
                            <w:b/>
                            <w:bCs/>
                            <w:color w:val="000000"/>
                            <w:sz w:val="30"/>
                            <w:szCs w:val="30"/>
                            <w:lang w:val="ru-RU"/>
                          </w:rPr>
                          <w:t>Структур</w:t>
                        </w:r>
                        <w:r>
                          <w:rPr>
                            <w:rFonts w:ascii="Calibri" w:hAnsi="Calibri" w:cs="Calibri"/>
                            <w:b/>
                            <w:bCs/>
                            <w:color w:val="000000"/>
                            <w:sz w:val="30"/>
                            <w:szCs w:val="30"/>
                            <w:lang w:val="ru-RU"/>
                          </w:rPr>
                          <w:t>а</w:t>
                        </w:r>
                        <w:r w:rsidRPr="008D7439">
                          <w:rPr>
                            <w:rFonts w:ascii="Calibri" w:hAnsi="Calibri" w:cs="Calibri"/>
                            <w:b/>
                            <w:bCs/>
                            <w:color w:val="000000"/>
                            <w:sz w:val="30"/>
                            <w:szCs w:val="30"/>
                          </w:rPr>
                          <w:t xml:space="preserve"> адміністративних</w:t>
                        </w:r>
                        <w:r>
                          <w:rPr>
                            <w:rFonts w:ascii="Calibri" w:hAnsi="Calibri" w:cs="Calibri"/>
                            <w:b/>
                            <w:bCs/>
                            <w:color w:val="000000"/>
                            <w:sz w:val="30"/>
                            <w:szCs w:val="30"/>
                            <w:lang w:val="ru-RU"/>
                          </w:rPr>
                          <w:t xml:space="preserve"> справ у 2019 </w:t>
                        </w:r>
                        <w:r w:rsidRPr="00C128A5">
                          <w:rPr>
                            <w:rFonts w:ascii="Calibri" w:hAnsi="Calibri" w:cs="Calibri"/>
                            <w:b/>
                            <w:bCs/>
                            <w:color w:val="000000"/>
                            <w:sz w:val="30"/>
                            <w:szCs w:val="30"/>
                          </w:rPr>
                          <w:t>році</w:t>
                        </w:r>
                        <w:r w:rsidRPr="002E5F92">
                          <w:rPr>
                            <w:rFonts w:ascii="Calibri" w:hAnsi="Calibri" w:cs="Calibri"/>
                            <w:b/>
                            <w:bCs/>
                            <w:color w:val="000000"/>
                            <w:sz w:val="30"/>
                            <w:szCs w:val="30"/>
                            <w:lang w:val="ru-RU"/>
                          </w:rPr>
                          <w:t xml:space="preserve"> </w:t>
                        </w:r>
                        <w:r>
                          <w:rPr>
                            <w:rFonts w:ascii="Calibri" w:hAnsi="Calibri" w:cs="Calibri"/>
                            <w:b/>
                            <w:bCs/>
                            <w:color w:val="000000"/>
                            <w:sz w:val="30"/>
                            <w:szCs w:val="30"/>
                          </w:rPr>
                          <w:t xml:space="preserve">щодо </w:t>
                        </w:r>
                        <w:r w:rsidRPr="00C128A5">
                          <w:rPr>
                            <w:rFonts w:ascii="Calibri" w:hAnsi="Calibri" w:cs="Calibri"/>
                            <w:b/>
                            <w:bCs/>
                            <w:color w:val="000000"/>
                            <w:sz w:val="30"/>
                            <w:szCs w:val="30"/>
                          </w:rPr>
                          <w:t>спорів</w:t>
                        </w:r>
                        <w:r w:rsidRPr="002E5F92">
                          <w:rPr>
                            <w:rFonts w:ascii="Calibri" w:hAnsi="Calibri" w:cs="Calibri"/>
                            <w:b/>
                            <w:bCs/>
                            <w:color w:val="000000"/>
                            <w:sz w:val="30"/>
                            <w:szCs w:val="30"/>
                            <w:lang w:val="ru-RU"/>
                          </w:rPr>
                          <w:t xml:space="preserve"> з </w:t>
                        </w:r>
                      </w:p>
                    </w:txbxContent>
                  </v:textbox>
                </v:rect>
                <v:rect id="Rectangle 51" o:spid="_x0000_s1042" style="position:absolute;left:26579;top:4154;width:7608;height:2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143D66" w:rsidRDefault="00143D66" w:rsidP="00505BA7">
                        <w:r w:rsidRPr="00E80B0C">
                          <w:rPr>
                            <w:rFonts w:ascii="Calibri" w:hAnsi="Calibri" w:cs="Calibri"/>
                            <w:b/>
                            <w:bCs/>
                            <w:color w:val="000000"/>
                            <w:sz w:val="30"/>
                            <w:szCs w:val="30"/>
                          </w:rPr>
                          <w:t>приводу</w:t>
                        </w:r>
                        <w:r>
                          <w:rPr>
                            <w:rFonts w:ascii="Calibri" w:hAnsi="Calibri" w:cs="Calibri"/>
                            <w:b/>
                            <w:bCs/>
                            <w:color w:val="000000"/>
                            <w:sz w:val="30"/>
                            <w:szCs w:val="30"/>
                            <w:lang w:val="en-US"/>
                          </w:rPr>
                          <w:t>:</w:t>
                        </w:r>
                      </w:p>
                    </w:txbxContent>
                  </v:textbox>
                </v:rect>
                <v:rect id="Rectangle 52" o:spid="_x0000_s1043" style="position:absolute;left:40515;top:19522;width:2316;height:12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143D66" w:rsidRPr="002256E2" w:rsidRDefault="00143D66" w:rsidP="00505BA7">
                        <w:pPr>
                          <w:rPr>
                            <w:rFonts w:ascii="Calibri" w:hAnsi="Calibri" w:cs="Calibri"/>
                            <w:color w:val="000000"/>
                            <w:sz w:val="16"/>
                            <w:szCs w:val="16"/>
                          </w:rPr>
                        </w:pPr>
                        <w:r>
                          <w:rPr>
                            <w:rFonts w:ascii="Calibri" w:hAnsi="Calibri" w:cs="Calibri"/>
                            <w:color w:val="000000"/>
                            <w:sz w:val="16"/>
                            <w:szCs w:val="16"/>
                          </w:rPr>
                          <w:t>73,77</w:t>
                        </w:r>
                      </w:p>
                    </w:txbxContent>
                  </v:textbox>
                </v:rect>
                <v:rect id="Rectangle 53" o:spid="_x0000_s1044" style="position:absolute;left:7298;top:12633;width:2316;height:1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143D66" w:rsidRPr="002256E2" w:rsidRDefault="00143D66" w:rsidP="00505BA7">
                        <w:pPr>
                          <w:rPr>
                            <w:rFonts w:ascii="Calibri" w:hAnsi="Calibri" w:cs="Calibri"/>
                            <w:color w:val="000000"/>
                            <w:sz w:val="16"/>
                            <w:szCs w:val="16"/>
                          </w:rPr>
                        </w:pPr>
                        <w:r>
                          <w:rPr>
                            <w:rFonts w:ascii="Calibri" w:hAnsi="Calibri" w:cs="Calibri"/>
                            <w:color w:val="000000"/>
                            <w:sz w:val="16"/>
                            <w:szCs w:val="16"/>
                          </w:rPr>
                          <w:t>10,17</w:t>
                        </w:r>
                      </w:p>
                    </w:txbxContent>
                  </v:textbox>
                </v:rect>
                <v:rect id="Rectangle 54" o:spid="_x0000_s1045" style="position:absolute;left:13830;top:8301;width:1802;height:12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143D66" w:rsidRPr="00BD4DF6" w:rsidRDefault="00143D66" w:rsidP="00505BA7">
                        <w:r>
                          <w:rPr>
                            <w:rFonts w:ascii="Calibri" w:hAnsi="Calibri" w:cs="Calibri"/>
                            <w:color w:val="000000"/>
                            <w:sz w:val="16"/>
                            <w:szCs w:val="16"/>
                          </w:rPr>
                          <w:t>4,45</w:t>
                        </w:r>
                      </w:p>
                    </w:txbxContent>
                  </v:textbox>
                </v:rect>
                <v:rect id="Rectangle 55" o:spid="_x0000_s1046" style="position:absolute;left:18476;top:7595;width:1808;height:12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143D66" w:rsidRPr="00C80050" w:rsidRDefault="00143D66" w:rsidP="00505BA7">
                        <w:pPr>
                          <w:rPr>
                            <w:rFonts w:ascii="Calibri" w:hAnsi="Calibri" w:cs="Calibri"/>
                            <w:color w:val="000000"/>
                            <w:sz w:val="16"/>
                            <w:szCs w:val="16"/>
                          </w:rPr>
                        </w:pPr>
                        <w:r>
                          <w:rPr>
                            <w:rFonts w:ascii="Calibri" w:hAnsi="Calibri" w:cs="Calibri"/>
                            <w:color w:val="000000"/>
                            <w:sz w:val="16"/>
                            <w:szCs w:val="16"/>
                          </w:rPr>
                          <w:t>3,66</w:t>
                        </w:r>
                      </w:p>
                    </w:txbxContent>
                  </v:textbox>
                </v:rect>
                <v:rect id="Rectangle 56" o:spid="_x0000_s1047" style="position:absolute;left:22646;top:7334;width:1802;height:1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43D66" w:rsidRPr="00EC44C4" w:rsidRDefault="00143D66" w:rsidP="00505BA7">
                        <w:r>
                          <w:rPr>
                            <w:rFonts w:ascii="Calibri" w:hAnsi="Calibri" w:cs="Calibri"/>
                            <w:color w:val="000000"/>
                            <w:sz w:val="16"/>
                            <w:szCs w:val="16"/>
                          </w:rPr>
                          <w:t>2,46</w:t>
                        </w:r>
                      </w:p>
                    </w:txbxContent>
                  </v:textbox>
                </v:rect>
                <v:rect id="Rectangle 57" o:spid="_x0000_s1048" style="position:absolute;left:3437;top:25795;width:79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iV78A&#10;AADbAAAADwAAAGRycy9kb3ducmV2LnhtbERPTWvCQBC9F/oflin0Vje1oiV1FRGEXo0e9DbdnSah&#10;2dmQXWPSX+8cBI+P971cD75RPXWxDmzgfZKBIrbB1VwaOB52b5+gYkJ22AQmAyNFWK+en5aYu3Dl&#10;PfVFKpWEcMzRQJVSm2sdbUUe4yS0xML9hs5jEtiV2nV4lXDf6GmWzbXHmqWhwpa2Fdm/4uINnBfH&#10;Zm/r/005nmZWSsafoh+NeX0ZNl+gEg3pIb67v52BDxkrX+QH6N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9+JXvwAAANsAAAAPAAAAAAAAAAAAAAAAAJgCAABkcnMvZG93bnJl&#10;di54bWxQSwUGAAAAAAQABAD1AAAAhAMAAAAA&#10;" fillcolor="red" stroked="f"/>
                <v:rect id="Rectangle 58" o:spid="_x0000_s1049" style="position:absolute;left:4539;top:25349;width:52387;height:2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fit-shape-to-text:t" inset="0,0,0,0">
                    <w:txbxContent>
                      <w:p w:rsidR="00143D66" w:rsidRDefault="00143D66" w:rsidP="00505BA7">
                        <w:r w:rsidRPr="002256E2">
                          <w:rPr>
                            <w:b/>
                            <w:bCs/>
                            <w:color w:val="000000"/>
                            <w:sz w:val="20"/>
                            <w:szCs w:val="20"/>
                          </w:rPr>
                          <w:t>Справи зі спорів з приводу забезпечення громадського порядку та безпеки, національної безпеки та оборони України</w:t>
                        </w:r>
                      </w:p>
                    </w:txbxContent>
                  </v:textbox>
                </v:rect>
                <v:rect id="Rectangle 59" o:spid="_x0000_s1050" style="position:absolute;left:3437;top:28530;width:79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8LgLwA&#10;AADbAAAADwAAAGRycy9kb3ducmV2LnhtbERPSwrCMBDdC94hjOBOUz+IVqOIqLhx4ecAQzO2xWRS&#10;mqjV05uF4PLx/otVY414Uu1LxwoG/QQEceZ0ybmC62XXm4LwAVmjcUwK3uRhtWy3Fphq9+ITPc8h&#10;FzGEfYoKihCqVEqfFWTR911FHLmbqy2GCOtc6hpfMdwaOUySibRYcmwosKJNQdn9/LAKOLmMtm+3&#10;tmF32M/IHD+lqT5KdTvNeg4iUBP+4p/7oBWM4/r4Jf4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vwuAvAAAANsAAAAPAAAAAAAAAAAAAAAAAJgCAABkcnMvZG93bnJldi54&#10;bWxQSwUGAAAAAAQABAD1AAAAgQMAAAAA&#10;" fillcolor="#f90" stroked="f"/>
                <v:rect id="Rectangle 60" o:spid="_x0000_s1051" style="position:absolute;left:4539;top:28091;width:282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43D66" w:rsidRDefault="00143D66" w:rsidP="00505BA7">
                        <w:r w:rsidRPr="002256E2">
                          <w:rPr>
                            <w:b/>
                            <w:bCs/>
                            <w:color w:val="000000"/>
                            <w:sz w:val="20"/>
                            <w:szCs w:val="20"/>
                          </w:rPr>
                          <w:t>Справи щодо виборчого процесу та референдуму</w:t>
                        </w:r>
                      </w:p>
                    </w:txbxContent>
                  </v:textbox>
                </v:rect>
                <v:rect id="Rectangle 61" o:spid="_x0000_s1052" style="position:absolute;left:3437;top:31183;width:79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4YOcUA&#10;AADbAAAADwAAAGRycy9kb3ducmV2LnhtbESPQYvCMBSE7wv7H8ITvK2pIiLVKNK14kEWdD3o7dE8&#10;22rzUpqo1V9vFoQ9DjPzDTOdt6YSN2pcaVlBvxeBIM6sLjlXsP9Nv8YgnEfWWFkmBQ9yMJ99fkwx&#10;1vbOW7rtfC4ChF2MCgrv61hKlxVk0PVsTRy8k20M+iCbXOoG7wFuKjmIopE0WHJYKLCmpKDssrsa&#10;BekjOZRp8txsVsvj93n5E9X98V6pbqddTEB4av1/+N1eawXDAfx9CT9Az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hg5xQAAANsAAAAPAAAAAAAAAAAAAAAAAJgCAABkcnMv&#10;ZG93bnJldi54bWxQSwUGAAAAAAQABAD1AAAAigMAAAAA&#10;" fillcolor="#36f" stroked="f"/>
                <v:rect id="Rectangle 62" o:spid="_x0000_s1053" style="position:absolute;left:4539;top:30737;width:5806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43D66" w:rsidRDefault="00143D66" w:rsidP="00505BA7">
                        <w:r w:rsidRPr="002256E2">
                          <w:rPr>
                            <w:b/>
                            <w:bCs/>
                            <w:color w:val="000000"/>
                            <w:sz w:val="20"/>
                            <w:szCs w:val="20"/>
                          </w:rPr>
                          <w:t>Справи з приводу реалізації державної політики у сфері економіки та публічної фінансової політики</w:t>
                        </w:r>
                      </w:p>
                    </w:txbxContent>
                  </v:textbox>
                </v:rect>
                <v:rect id="Rectangle 63" o:spid="_x0000_s1054" style="position:absolute;left:3437;top:33918;width:79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g98UA&#10;AADbAAAADwAAAGRycy9kb3ducmV2LnhtbESPT2vCQBTE74LfYXmCF9FNQ5AmdRUttLS3+ufi7TX7&#10;TILZt+nuqmk/fbcg9DjMzG+Yxao3rbiS841lBQ+zBARxaXXDlYLD/mX6CMIHZI2tZVLwTR5Wy+Fg&#10;gYW2N97SdRcqESHsC1RQh9AVUvqyJoN+Zjvi6J2sMxiidJXUDm8RblqZJslcGmw4LtTY0XNN5Xl3&#10;MQq6r09271n+8Yo/x00+aVLfV6lS41G/fgIRqA//4Xv7TSvIMv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WD3xQAAANsAAAAPAAAAAAAAAAAAAAAAAJgCAABkcnMv&#10;ZG93bnJldi54bWxQSwUGAAAAAAQABAD1AAAAigMAAAAA&#10;" fillcolor="lime" stroked="f"/>
                <v:rect id="Rectangle 64" o:spid="_x0000_s1055" style="position:absolute;left:4539;top:33479;width:4609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43D66" w:rsidRDefault="00143D66" w:rsidP="00505BA7">
                        <w:r w:rsidRPr="002256E2">
                          <w:rPr>
                            <w:b/>
                            <w:bCs/>
                            <w:color w:val="000000"/>
                            <w:sz w:val="20"/>
                            <w:szCs w:val="20"/>
                          </w:rPr>
                          <w:t>Справи з приводу регулюванню містобудівної діяльності та землекористування</w:t>
                        </w:r>
                      </w:p>
                    </w:txbxContent>
                  </v:textbox>
                </v:rect>
                <v:rect id="Rectangle 65" o:spid="_x0000_s1056" style="position:absolute;left:3437;top:36701;width:792;height: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c78MA&#10;AADbAAAADwAAAGRycy9kb3ducmV2LnhtbESPQWsCMRSE70L/Q3hCb92soiJbo1jF4tGq2B4fm9fN&#10;6uZl3aS6/fdGEDwOM/MNM5m1thIXanzpWEEvSUEQ506XXCjY71ZvYxA+IGusHJOCf/Iwm750Jphp&#10;d+UvumxDISKEfYYKTAh1JqXPDVn0iauJo/frGoshyqaQusFrhNtK9tN0JC2WHBcM1rQwlJ+2f1bB&#10;z+b78GHshtrh0H+e13bpeulRqdduO38HEagNz/CjvdYKBiO4f4k/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Jc78MAAADbAAAADwAAAAAAAAAAAAAAAACYAgAAZHJzL2Rv&#10;d25yZXYueG1sUEsFBgAAAAAEAAQA9QAAAIgDAAAAAA==&#10;" fillcolor="yellow" stroked="f"/>
                <v:rect id="Rectangle 66" o:spid="_x0000_s1057" style="position:absolute;left:4539;top:36125;width:390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43D66" w:rsidRPr="00703C77" w:rsidRDefault="00143D66" w:rsidP="00505BA7">
                        <w:pPr>
                          <w:rPr>
                            <w:lang w:val="ru-RU"/>
                          </w:rPr>
                        </w:pPr>
                        <w:r w:rsidRPr="002256E2">
                          <w:rPr>
                            <w:b/>
                            <w:bCs/>
                            <w:color w:val="000000"/>
                            <w:sz w:val="20"/>
                            <w:szCs w:val="20"/>
                          </w:rPr>
                          <w:t>Справи з приводу охорони навколишнього природного середовища</w:t>
                        </w:r>
                      </w:p>
                    </w:txbxContent>
                  </v:textbox>
                </v:rect>
                <w10:anchorlock/>
              </v:group>
            </w:pict>
          </mc:Fallback>
        </mc:AlternateContent>
      </w:r>
    </w:p>
    <w:p w:rsidR="00505BA7" w:rsidRPr="00505BA7" w:rsidRDefault="00505BA7" w:rsidP="00505BA7">
      <w:pPr>
        <w:ind w:firstLine="708"/>
        <w:jc w:val="center"/>
      </w:pPr>
    </w:p>
    <w:p w:rsidR="00505BA7" w:rsidRPr="00505BA7" w:rsidRDefault="00505BA7" w:rsidP="00505BA7">
      <w:pPr>
        <w:ind w:firstLine="708"/>
        <w:jc w:val="both"/>
        <w:rPr>
          <w:szCs w:val="28"/>
        </w:rPr>
      </w:pPr>
      <w:r w:rsidRPr="00505BA7">
        <w:rPr>
          <w:szCs w:val="28"/>
        </w:rPr>
        <w:t xml:space="preserve">За звітний період кількість розглянутих справ </w:t>
      </w:r>
      <w:r w:rsidR="00D41DE1">
        <w:rPr>
          <w:szCs w:val="28"/>
        </w:rPr>
        <w:t xml:space="preserve">адміністративного судочинства </w:t>
      </w:r>
      <w:r w:rsidRPr="00505BA7">
        <w:rPr>
          <w:szCs w:val="28"/>
        </w:rPr>
        <w:t xml:space="preserve">становить 1115 справ – 88,63% від загальної кількості справ, що перебували в провадженні, з них із прийняттям </w:t>
      </w:r>
      <w:r w:rsidR="00E42E56">
        <w:rPr>
          <w:szCs w:val="28"/>
        </w:rPr>
        <w:t>рішення</w:t>
      </w:r>
      <w:r w:rsidRPr="00505BA7">
        <w:rPr>
          <w:szCs w:val="28"/>
        </w:rPr>
        <w:t xml:space="preserve"> 1011 справ (90,67%), в тому числі із задоволенням позову 821 справ</w:t>
      </w:r>
      <w:r w:rsidR="00D41DE1">
        <w:rPr>
          <w:szCs w:val="28"/>
        </w:rPr>
        <w:t>а</w:t>
      </w:r>
      <w:r w:rsidRPr="00505BA7">
        <w:rPr>
          <w:szCs w:val="28"/>
        </w:rPr>
        <w:t xml:space="preserve"> (</w:t>
      </w:r>
      <w:r w:rsidR="00E42E56">
        <w:rPr>
          <w:szCs w:val="28"/>
        </w:rPr>
        <w:t>81,21</w:t>
      </w:r>
      <w:r w:rsidRPr="00505BA7">
        <w:rPr>
          <w:szCs w:val="28"/>
        </w:rPr>
        <w:t xml:space="preserve">%), із закриттям провадження – 12 (1,08%), </w:t>
      </w:r>
      <w:r w:rsidR="00523FB5">
        <w:rPr>
          <w:szCs w:val="28"/>
        </w:rPr>
        <w:t xml:space="preserve">із </w:t>
      </w:r>
      <w:r w:rsidRPr="00505BA7">
        <w:rPr>
          <w:szCs w:val="28"/>
        </w:rPr>
        <w:t xml:space="preserve">залишенням заяви без розгляду – 80 (7,17%). </w:t>
      </w:r>
    </w:p>
    <w:p w:rsidR="00505BA7" w:rsidRPr="00505BA7" w:rsidRDefault="00505BA7" w:rsidP="00505BA7">
      <w:pPr>
        <w:ind w:firstLine="708"/>
        <w:jc w:val="both"/>
        <w:rPr>
          <w:szCs w:val="28"/>
        </w:rPr>
      </w:pPr>
    </w:p>
    <w:p w:rsidR="00505BA7" w:rsidRPr="00505BA7" w:rsidRDefault="00505BA7" w:rsidP="00505BA7">
      <w:pPr>
        <w:ind w:firstLine="708"/>
        <w:jc w:val="both"/>
        <w:rPr>
          <w:szCs w:val="28"/>
        </w:rPr>
      </w:pPr>
      <w:r w:rsidRPr="00505BA7">
        <w:rPr>
          <w:szCs w:val="28"/>
        </w:rPr>
        <w:t>Найбільшу кількість справ адміністративного судочинства розглянуто Вінницьким міським судом Вінницької області – 485 (43,50%), Хмільницьки</w:t>
      </w:r>
      <w:r w:rsidR="00D41DE1">
        <w:rPr>
          <w:szCs w:val="28"/>
        </w:rPr>
        <w:t>м</w:t>
      </w:r>
      <w:r w:rsidRPr="00505BA7">
        <w:rPr>
          <w:szCs w:val="28"/>
        </w:rPr>
        <w:t xml:space="preserve"> міськрайонни</w:t>
      </w:r>
      <w:r w:rsidR="00D41DE1">
        <w:rPr>
          <w:szCs w:val="28"/>
        </w:rPr>
        <w:t>м</w:t>
      </w:r>
      <w:r w:rsidRPr="00505BA7">
        <w:rPr>
          <w:szCs w:val="28"/>
        </w:rPr>
        <w:t xml:space="preserve"> суд</w:t>
      </w:r>
      <w:r w:rsidR="00D41DE1">
        <w:rPr>
          <w:szCs w:val="28"/>
        </w:rPr>
        <w:t>ом</w:t>
      </w:r>
      <w:r w:rsidRPr="00505BA7">
        <w:rPr>
          <w:szCs w:val="28"/>
        </w:rPr>
        <w:t xml:space="preserve"> Вінницької області –  60 (5,38%), Вінницьким районним судом Вінницької області – 54 (4,84</w:t>
      </w:r>
      <w:r w:rsidR="00D41DE1">
        <w:rPr>
          <w:szCs w:val="28"/>
        </w:rPr>
        <w:t>%</w:t>
      </w:r>
      <w:r w:rsidR="00143D66">
        <w:rPr>
          <w:szCs w:val="28"/>
        </w:rPr>
        <w:t>), Калинівським районним судом</w:t>
      </w:r>
      <w:r w:rsidRPr="00505BA7">
        <w:rPr>
          <w:szCs w:val="28"/>
        </w:rPr>
        <w:t xml:space="preserve"> Вінницької області – 53 (4,75%), Літинським районним суд</w:t>
      </w:r>
      <w:r w:rsidR="00D41DE1">
        <w:rPr>
          <w:szCs w:val="28"/>
        </w:rPr>
        <w:t>ом</w:t>
      </w:r>
      <w:r w:rsidRPr="00505BA7">
        <w:rPr>
          <w:szCs w:val="28"/>
        </w:rPr>
        <w:t xml:space="preserve"> Вінницької області – 41 (3,68%).</w:t>
      </w:r>
    </w:p>
    <w:p w:rsidR="00505BA7" w:rsidRPr="00505BA7" w:rsidRDefault="00505BA7" w:rsidP="00505BA7">
      <w:pPr>
        <w:ind w:firstLine="708"/>
        <w:jc w:val="both"/>
        <w:rPr>
          <w:szCs w:val="28"/>
        </w:rPr>
      </w:pPr>
    </w:p>
    <w:p w:rsidR="00505BA7" w:rsidRPr="00505BA7" w:rsidRDefault="00505BA7" w:rsidP="00505BA7">
      <w:pPr>
        <w:ind w:firstLine="708"/>
        <w:jc w:val="both"/>
        <w:rPr>
          <w:szCs w:val="28"/>
        </w:rPr>
      </w:pPr>
      <w:r w:rsidRPr="00505BA7">
        <w:rPr>
          <w:szCs w:val="28"/>
        </w:rPr>
        <w:t>Більш детальну інформацію по кількості розглянутих адміністративних справ в місцевих загальних судах Вінницької області наведено в діаграмі.</w:t>
      </w:r>
    </w:p>
    <w:p w:rsidR="00505BA7" w:rsidRPr="00505BA7" w:rsidRDefault="00856422" w:rsidP="00505BA7">
      <w:pPr>
        <w:jc w:val="both"/>
        <w:rPr>
          <w:szCs w:val="28"/>
        </w:rPr>
      </w:pPr>
      <w:r>
        <w:rPr>
          <w:noProof/>
          <w:lang w:val="ru-RU"/>
        </w:rPr>
        <w:lastRenderedPageBreak/>
        <w:drawing>
          <wp:inline distT="0" distB="0" distL="0" distR="0">
            <wp:extent cx="6273165" cy="5733415"/>
            <wp:effectExtent l="0" t="0" r="13335" b="19685"/>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05BA7" w:rsidRPr="00505BA7" w:rsidRDefault="00505BA7" w:rsidP="00505BA7">
      <w:pPr>
        <w:jc w:val="both"/>
        <w:rPr>
          <w:szCs w:val="28"/>
        </w:rPr>
      </w:pPr>
    </w:p>
    <w:p w:rsidR="00505BA7" w:rsidRPr="00505BA7" w:rsidRDefault="00505BA7" w:rsidP="00505BA7">
      <w:pPr>
        <w:ind w:firstLine="708"/>
        <w:jc w:val="both"/>
        <w:rPr>
          <w:szCs w:val="28"/>
        </w:rPr>
      </w:pPr>
    </w:p>
    <w:p w:rsidR="00505BA7" w:rsidRPr="00505BA7" w:rsidRDefault="00505BA7" w:rsidP="00505BA7">
      <w:pPr>
        <w:ind w:firstLine="708"/>
        <w:jc w:val="both"/>
        <w:rPr>
          <w:szCs w:val="28"/>
        </w:rPr>
      </w:pPr>
      <w:r w:rsidRPr="00505BA7">
        <w:rPr>
          <w:szCs w:val="28"/>
        </w:rPr>
        <w:t xml:space="preserve">Залишились нерозглянутими на кінець звітного періоду – </w:t>
      </w:r>
      <w:r w:rsidRPr="00505BA7">
        <w:rPr>
          <w:szCs w:val="28"/>
          <w:lang w:val="ru-RU"/>
        </w:rPr>
        <w:t>143</w:t>
      </w:r>
      <w:r w:rsidRPr="00505BA7">
        <w:rPr>
          <w:szCs w:val="28"/>
        </w:rPr>
        <w:t xml:space="preserve"> справи, що становить 11,37% від загальної кількості справ, що перебували в провадженні. В порівнянні з 2018 роком показник зменшився на </w:t>
      </w:r>
      <w:r w:rsidR="00A7775F">
        <w:rPr>
          <w:szCs w:val="28"/>
        </w:rPr>
        <w:t>14,88</w:t>
      </w:r>
      <w:r w:rsidRPr="00505BA7">
        <w:rPr>
          <w:szCs w:val="28"/>
        </w:rPr>
        <w:t>%.</w:t>
      </w:r>
    </w:p>
    <w:p w:rsidR="00505BA7" w:rsidRPr="00505BA7" w:rsidRDefault="00505BA7" w:rsidP="00505BA7">
      <w:pPr>
        <w:ind w:firstLine="708"/>
        <w:jc w:val="both"/>
        <w:rPr>
          <w:szCs w:val="28"/>
        </w:rPr>
      </w:pPr>
    </w:p>
    <w:p w:rsidR="00B35C14" w:rsidRDefault="00B35C14" w:rsidP="00DD4AC4">
      <w:pPr>
        <w:jc w:val="both"/>
        <w:rPr>
          <w:szCs w:val="28"/>
        </w:rPr>
      </w:pPr>
    </w:p>
    <w:p w:rsidR="00DD4AC4" w:rsidRDefault="00DD4AC4" w:rsidP="00DD4AC4">
      <w:pPr>
        <w:jc w:val="both"/>
        <w:rPr>
          <w:szCs w:val="28"/>
        </w:rPr>
      </w:pPr>
    </w:p>
    <w:p w:rsidR="00DD4AC4" w:rsidRPr="00E2257D" w:rsidRDefault="00DD4AC4" w:rsidP="00DD4AC4">
      <w:pPr>
        <w:jc w:val="both"/>
      </w:pPr>
    </w:p>
    <w:p w:rsidR="00A246CD" w:rsidRPr="00A246CD" w:rsidRDefault="00A246CD" w:rsidP="00E65B41">
      <w:pPr>
        <w:rPr>
          <w:b/>
          <w:sz w:val="32"/>
          <w:szCs w:val="32"/>
        </w:rPr>
      </w:pPr>
    </w:p>
    <w:p w:rsidR="00505BA7" w:rsidRDefault="00505BA7" w:rsidP="00E65B41">
      <w:pPr>
        <w:jc w:val="center"/>
        <w:rPr>
          <w:b/>
          <w:sz w:val="32"/>
          <w:szCs w:val="32"/>
        </w:rPr>
      </w:pPr>
    </w:p>
    <w:p w:rsidR="00505BA7" w:rsidRDefault="00505BA7" w:rsidP="00E65B41">
      <w:pPr>
        <w:jc w:val="center"/>
        <w:rPr>
          <w:b/>
          <w:sz w:val="32"/>
          <w:szCs w:val="32"/>
        </w:rPr>
      </w:pPr>
    </w:p>
    <w:p w:rsidR="00505BA7" w:rsidRDefault="00505BA7" w:rsidP="00E65B41">
      <w:pPr>
        <w:jc w:val="center"/>
        <w:rPr>
          <w:b/>
          <w:sz w:val="32"/>
          <w:szCs w:val="32"/>
        </w:rPr>
      </w:pPr>
    </w:p>
    <w:p w:rsidR="00505BA7" w:rsidRDefault="00505BA7" w:rsidP="00E65B41">
      <w:pPr>
        <w:jc w:val="center"/>
        <w:rPr>
          <w:b/>
          <w:sz w:val="32"/>
          <w:szCs w:val="32"/>
        </w:rPr>
      </w:pPr>
    </w:p>
    <w:p w:rsidR="00E65B41" w:rsidRPr="00A246CD" w:rsidRDefault="00E65B41" w:rsidP="00E65B41">
      <w:pPr>
        <w:jc w:val="center"/>
        <w:rPr>
          <w:b/>
          <w:sz w:val="32"/>
          <w:szCs w:val="32"/>
        </w:rPr>
      </w:pPr>
      <w:r w:rsidRPr="00A246CD">
        <w:rPr>
          <w:b/>
          <w:sz w:val="32"/>
          <w:szCs w:val="32"/>
        </w:rPr>
        <w:lastRenderedPageBreak/>
        <w:t>ЦИВІЛЬНЕ СУДОЧИНСТВО</w:t>
      </w:r>
    </w:p>
    <w:p w:rsidR="00E65B41" w:rsidRPr="00A246CD" w:rsidRDefault="00E65B41" w:rsidP="00E65B41">
      <w:pPr>
        <w:jc w:val="center"/>
        <w:rPr>
          <w:b/>
          <w:sz w:val="32"/>
          <w:szCs w:val="32"/>
        </w:rPr>
      </w:pPr>
    </w:p>
    <w:p w:rsidR="00E65B41" w:rsidRPr="00031F35" w:rsidRDefault="00E65B41" w:rsidP="00E65B41">
      <w:pPr>
        <w:ind w:firstLine="708"/>
        <w:jc w:val="both"/>
        <w:rPr>
          <w:szCs w:val="28"/>
          <w:lang w:val="ru-RU"/>
        </w:rPr>
      </w:pPr>
      <w:r w:rsidRPr="00A246CD">
        <w:rPr>
          <w:szCs w:val="28"/>
        </w:rPr>
        <w:t xml:space="preserve">Впродовж </w:t>
      </w:r>
      <w:r w:rsidRPr="00A246CD">
        <w:rPr>
          <w:b/>
        </w:rPr>
        <w:t xml:space="preserve"> </w:t>
      </w:r>
      <w:r>
        <w:rPr>
          <w:szCs w:val="28"/>
        </w:rPr>
        <w:t>2019</w:t>
      </w:r>
      <w:r w:rsidRPr="00A246CD">
        <w:rPr>
          <w:szCs w:val="28"/>
        </w:rPr>
        <w:t xml:space="preserve"> року у провадженні місцевих загальних судів Вінницької області перебувало </w:t>
      </w:r>
      <w:r>
        <w:rPr>
          <w:szCs w:val="28"/>
        </w:rPr>
        <w:t>32300</w:t>
      </w:r>
      <w:r w:rsidRPr="00A246CD">
        <w:rPr>
          <w:szCs w:val="28"/>
        </w:rPr>
        <w:t xml:space="preserve"> справ, що розглядалися в порядку цивільного судочинства. Цей показник </w:t>
      </w:r>
      <w:r>
        <w:rPr>
          <w:szCs w:val="28"/>
        </w:rPr>
        <w:t>з</w:t>
      </w:r>
      <w:r w:rsidR="00327A20">
        <w:rPr>
          <w:szCs w:val="28"/>
        </w:rPr>
        <w:t xml:space="preserve">меншився </w:t>
      </w:r>
      <w:r w:rsidRPr="00A246CD">
        <w:rPr>
          <w:szCs w:val="28"/>
        </w:rPr>
        <w:t xml:space="preserve">на </w:t>
      </w:r>
      <w:r w:rsidR="00327A20">
        <w:rPr>
          <w:szCs w:val="28"/>
        </w:rPr>
        <w:t>6,23</w:t>
      </w:r>
      <w:r w:rsidRPr="00A246CD">
        <w:rPr>
          <w:szCs w:val="28"/>
        </w:rPr>
        <w:t>%, порівняно з ан</w:t>
      </w:r>
      <w:r w:rsidR="00031F35">
        <w:rPr>
          <w:szCs w:val="28"/>
        </w:rPr>
        <w:t xml:space="preserve">алогічним звітним періодом </w:t>
      </w:r>
      <w:r>
        <w:rPr>
          <w:szCs w:val="28"/>
        </w:rPr>
        <w:t>2018</w:t>
      </w:r>
      <w:r w:rsidRPr="00A246CD">
        <w:rPr>
          <w:szCs w:val="28"/>
        </w:rPr>
        <w:t xml:space="preserve"> року (</w:t>
      </w:r>
      <w:r w:rsidR="00327A20">
        <w:rPr>
          <w:szCs w:val="28"/>
        </w:rPr>
        <w:t>34447</w:t>
      </w:r>
      <w:r>
        <w:rPr>
          <w:szCs w:val="28"/>
        </w:rPr>
        <w:t xml:space="preserve"> справ</w:t>
      </w:r>
      <w:r w:rsidR="00031F35">
        <w:rPr>
          <w:szCs w:val="28"/>
        </w:rPr>
        <w:t>).</w:t>
      </w:r>
    </w:p>
    <w:p w:rsidR="00E65B41" w:rsidRPr="00A246CD" w:rsidRDefault="00E65B41" w:rsidP="00E65B41">
      <w:pPr>
        <w:ind w:firstLine="708"/>
        <w:jc w:val="both"/>
        <w:rPr>
          <w:szCs w:val="28"/>
        </w:rPr>
      </w:pPr>
    </w:p>
    <w:p w:rsidR="00E65B41" w:rsidRPr="00A246CD" w:rsidRDefault="00E65B41" w:rsidP="00E65B41">
      <w:pPr>
        <w:ind w:firstLine="708"/>
        <w:jc w:val="both"/>
        <w:rPr>
          <w:szCs w:val="28"/>
        </w:rPr>
      </w:pPr>
      <w:r w:rsidRPr="00A246CD">
        <w:rPr>
          <w:szCs w:val="28"/>
        </w:rPr>
        <w:t>Загальну кількість справ наказного, окремого, та позовного провадження, що перебували на розгляді місцевих загальних судів Вінницької області, відображено в діаграмі:</w:t>
      </w:r>
    </w:p>
    <w:p w:rsidR="00E65B41" w:rsidRPr="00A246CD" w:rsidRDefault="00856422" w:rsidP="00E65B41">
      <w:pPr>
        <w:ind w:firstLine="708"/>
        <w:jc w:val="center"/>
        <w:rPr>
          <w:b/>
        </w:rPr>
      </w:pPr>
      <w:r>
        <w:rPr>
          <w:noProof/>
          <w:lang w:val="ru-RU"/>
        </w:rPr>
        <w:drawing>
          <wp:inline distT="0" distB="0" distL="0" distR="0">
            <wp:extent cx="4568825" cy="3343275"/>
            <wp:effectExtent l="38100" t="0" r="3175" b="0"/>
            <wp:docPr id="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5B41" w:rsidRPr="00A246CD" w:rsidRDefault="00E65B41" w:rsidP="00E65B41">
      <w:pPr>
        <w:rPr>
          <w:noProof/>
          <w:lang w:eastAsia="uk-UA"/>
        </w:rPr>
      </w:pPr>
    </w:p>
    <w:p w:rsidR="00E65B41" w:rsidRPr="00ED04E8" w:rsidRDefault="00E65B41" w:rsidP="00E65B41">
      <w:pPr>
        <w:spacing w:line="276" w:lineRule="auto"/>
        <w:ind w:firstLine="708"/>
        <w:jc w:val="both"/>
        <w:rPr>
          <w:szCs w:val="28"/>
        </w:rPr>
      </w:pPr>
      <w:r w:rsidRPr="00ED04E8">
        <w:rPr>
          <w:szCs w:val="28"/>
        </w:rPr>
        <w:t>Найбільшу кількість справ позовного провадження, що перебували на розгляді місцевих загальних судів, як і в попередн</w:t>
      </w:r>
      <w:r>
        <w:rPr>
          <w:szCs w:val="28"/>
        </w:rPr>
        <w:t>і періоди,</w:t>
      </w:r>
      <w:r w:rsidRPr="00ED04E8">
        <w:rPr>
          <w:szCs w:val="28"/>
        </w:rPr>
        <w:t xml:space="preserve"> становлять справи, що виникають з сімейних правовідносин (</w:t>
      </w:r>
      <w:r>
        <w:rPr>
          <w:szCs w:val="28"/>
        </w:rPr>
        <w:t>40,93</w:t>
      </w:r>
      <w:r w:rsidRPr="00ED04E8">
        <w:rPr>
          <w:szCs w:val="28"/>
        </w:rPr>
        <w:t xml:space="preserve">%), спори що виникають із </w:t>
      </w:r>
      <w:r>
        <w:rPr>
          <w:szCs w:val="28"/>
        </w:rPr>
        <w:t>правочинів</w:t>
      </w:r>
      <w:r w:rsidRPr="00ED04E8">
        <w:rPr>
          <w:szCs w:val="28"/>
        </w:rPr>
        <w:t xml:space="preserve"> (</w:t>
      </w:r>
      <w:r>
        <w:rPr>
          <w:szCs w:val="28"/>
        </w:rPr>
        <w:t xml:space="preserve">23,56 </w:t>
      </w:r>
      <w:r w:rsidRPr="00ED04E8">
        <w:rPr>
          <w:szCs w:val="28"/>
        </w:rPr>
        <w:t xml:space="preserve">%), </w:t>
      </w:r>
      <w:r>
        <w:rPr>
          <w:szCs w:val="28"/>
        </w:rPr>
        <w:t>спори про спадкове право (15,68</w:t>
      </w:r>
      <w:r w:rsidRPr="00ED04E8">
        <w:rPr>
          <w:szCs w:val="28"/>
        </w:rPr>
        <w:t>%).</w:t>
      </w:r>
    </w:p>
    <w:p w:rsidR="00E65B41" w:rsidRPr="00ED04E8" w:rsidRDefault="00E65B41" w:rsidP="00E65B41">
      <w:pPr>
        <w:spacing w:line="276" w:lineRule="auto"/>
        <w:ind w:firstLine="708"/>
        <w:jc w:val="both"/>
        <w:rPr>
          <w:szCs w:val="28"/>
        </w:rPr>
      </w:pPr>
    </w:p>
    <w:p w:rsidR="00E65B41" w:rsidRPr="00ED04E8" w:rsidRDefault="00E65B41" w:rsidP="00E65B41">
      <w:pPr>
        <w:spacing w:line="276" w:lineRule="auto"/>
        <w:ind w:firstLine="708"/>
        <w:jc w:val="both"/>
        <w:rPr>
          <w:szCs w:val="28"/>
        </w:rPr>
      </w:pPr>
      <w:r w:rsidRPr="00ED04E8">
        <w:rPr>
          <w:szCs w:val="28"/>
        </w:rPr>
        <w:t>Серед справ окремого провадження, як і за попередні роки, найбільшу кількість становлять справи про встановлення фактів, що мають юридичне значення (</w:t>
      </w:r>
      <w:r>
        <w:rPr>
          <w:szCs w:val="28"/>
        </w:rPr>
        <w:t>68,32</w:t>
      </w:r>
      <w:r w:rsidRPr="00ED04E8">
        <w:rPr>
          <w:szCs w:val="28"/>
        </w:rPr>
        <w:t>%).</w:t>
      </w:r>
    </w:p>
    <w:p w:rsidR="00E65B41" w:rsidRPr="00A246CD" w:rsidRDefault="00E65B41" w:rsidP="00E65B41">
      <w:pPr>
        <w:spacing w:line="276" w:lineRule="auto"/>
        <w:jc w:val="both"/>
        <w:rPr>
          <w:szCs w:val="28"/>
        </w:rPr>
      </w:pPr>
    </w:p>
    <w:p w:rsidR="00E65B41" w:rsidRPr="00A246CD" w:rsidRDefault="00E65B41" w:rsidP="00E65B41">
      <w:pPr>
        <w:spacing w:line="276" w:lineRule="auto"/>
        <w:ind w:firstLine="708"/>
        <w:jc w:val="both"/>
        <w:rPr>
          <w:szCs w:val="28"/>
        </w:rPr>
      </w:pPr>
      <w:r w:rsidRPr="00A246CD">
        <w:rPr>
          <w:szCs w:val="28"/>
        </w:rPr>
        <w:t>Структура цивільних справ позовного та окремого провадження, що знаходились на розгляді місцевих загальних судів у звітному періоді, за категоріями відображено у діаграмах:</w:t>
      </w:r>
    </w:p>
    <w:p w:rsidR="00E65B41" w:rsidRPr="00A246CD" w:rsidRDefault="00E65B41" w:rsidP="00E65B41">
      <w:pPr>
        <w:spacing w:line="360" w:lineRule="auto"/>
        <w:ind w:firstLine="708"/>
        <w:jc w:val="both"/>
        <w:rPr>
          <w:szCs w:val="28"/>
        </w:rPr>
      </w:pPr>
    </w:p>
    <w:p w:rsidR="00E65B41" w:rsidRPr="00A246CD" w:rsidRDefault="00E65B41" w:rsidP="00E65B41">
      <w:pPr>
        <w:ind w:firstLine="708"/>
        <w:jc w:val="center"/>
        <w:rPr>
          <w:b/>
        </w:rPr>
      </w:pPr>
    </w:p>
    <w:p w:rsidR="00E65B41" w:rsidRPr="00A246CD" w:rsidRDefault="00E65B41" w:rsidP="00E65B41">
      <w:pPr>
        <w:ind w:firstLine="708"/>
        <w:jc w:val="center"/>
        <w:rPr>
          <w:b/>
        </w:rPr>
      </w:pPr>
      <w:r w:rsidRPr="00A246CD">
        <w:rPr>
          <w:b/>
        </w:rPr>
        <w:t xml:space="preserve">Структура цивільних справ позовного провадження </w:t>
      </w:r>
    </w:p>
    <w:p w:rsidR="00E65B41" w:rsidRPr="00A246CD" w:rsidRDefault="00E65B41" w:rsidP="00E65B41">
      <w:pPr>
        <w:ind w:firstLine="708"/>
        <w:jc w:val="center"/>
        <w:rPr>
          <w:b/>
        </w:rPr>
      </w:pPr>
      <w:r>
        <w:rPr>
          <w:b/>
        </w:rPr>
        <w:t>у 201</w:t>
      </w:r>
      <w:r w:rsidR="00420D00">
        <w:rPr>
          <w:b/>
        </w:rPr>
        <w:t>9</w:t>
      </w:r>
      <w:r w:rsidRPr="00A246CD">
        <w:rPr>
          <w:b/>
        </w:rPr>
        <w:t xml:space="preserve"> році:</w:t>
      </w:r>
    </w:p>
    <w:p w:rsidR="00E65B41" w:rsidRDefault="00856422" w:rsidP="00E65B41">
      <w:pPr>
        <w:jc w:val="center"/>
        <w:rPr>
          <w:noProof/>
          <w:lang w:val="ru-RU"/>
        </w:rPr>
      </w:pPr>
      <w:r>
        <w:rPr>
          <w:noProof/>
          <w:lang w:val="ru-RU"/>
        </w:rPr>
        <w:drawing>
          <wp:inline distT="0" distB="0" distL="0" distR="0">
            <wp:extent cx="6149975" cy="4446905"/>
            <wp:effectExtent l="38100" t="0" r="3175"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65B41" w:rsidRPr="00A246CD" w:rsidRDefault="00E65B41" w:rsidP="00E65B41">
      <w:pPr>
        <w:jc w:val="center"/>
        <w:rPr>
          <w:noProof/>
          <w:lang w:val="ru-RU"/>
        </w:rPr>
      </w:pPr>
    </w:p>
    <w:p w:rsidR="00E65B41" w:rsidRPr="0007407D" w:rsidRDefault="00856422" w:rsidP="0007407D">
      <w:pPr>
        <w:jc w:val="center"/>
      </w:pPr>
      <w:r>
        <w:rPr>
          <w:noProof/>
          <w:lang w:val="ru-RU"/>
        </w:rPr>
        <w:drawing>
          <wp:inline distT="0" distB="0" distL="0" distR="0">
            <wp:extent cx="6151880" cy="3195955"/>
            <wp:effectExtent l="0" t="0" r="20320" b="23495"/>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5B41" w:rsidRPr="00A246CD" w:rsidRDefault="00E65B41" w:rsidP="00E65B41">
      <w:pPr>
        <w:jc w:val="center"/>
        <w:rPr>
          <w:noProof/>
          <w:lang w:val="ru-RU"/>
        </w:rPr>
      </w:pPr>
    </w:p>
    <w:p w:rsidR="00E65B41" w:rsidRDefault="00E65B41" w:rsidP="00E65B41">
      <w:pPr>
        <w:jc w:val="both"/>
        <w:rPr>
          <w:b/>
          <w:szCs w:val="28"/>
        </w:rPr>
      </w:pPr>
    </w:p>
    <w:p w:rsidR="00E65B41" w:rsidRPr="003C4792" w:rsidRDefault="00E65B41" w:rsidP="00E65B41">
      <w:pPr>
        <w:ind w:firstLine="709"/>
        <w:jc w:val="both"/>
        <w:rPr>
          <w:szCs w:val="28"/>
        </w:rPr>
      </w:pPr>
      <w:r w:rsidRPr="003C4792">
        <w:rPr>
          <w:szCs w:val="28"/>
        </w:rPr>
        <w:lastRenderedPageBreak/>
        <w:t xml:space="preserve">Впродовж звітного періоду місцевими загальними судами Вінницької області розглянуто </w:t>
      </w:r>
      <w:r>
        <w:rPr>
          <w:szCs w:val="28"/>
        </w:rPr>
        <w:t xml:space="preserve">25772 </w:t>
      </w:r>
      <w:r w:rsidRPr="003C4792">
        <w:rPr>
          <w:szCs w:val="28"/>
        </w:rPr>
        <w:t>справи у порядку цивільного судочинства</w:t>
      </w:r>
      <w:r>
        <w:rPr>
          <w:szCs w:val="28"/>
        </w:rPr>
        <w:t xml:space="preserve">, </w:t>
      </w:r>
      <w:r w:rsidRPr="003C4792">
        <w:rPr>
          <w:szCs w:val="28"/>
        </w:rPr>
        <w:t>враховую</w:t>
      </w:r>
      <w:r w:rsidR="00757217">
        <w:rPr>
          <w:szCs w:val="28"/>
        </w:rPr>
        <w:t>чи справи наказного провадження</w:t>
      </w:r>
      <w:r>
        <w:rPr>
          <w:szCs w:val="28"/>
        </w:rPr>
        <w:t xml:space="preserve"> </w:t>
      </w:r>
      <w:r w:rsidRPr="003C4792">
        <w:rPr>
          <w:szCs w:val="28"/>
        </w:rPr>
        <w:t xml:space="preserve">(з них: </w:t>
      </w:r>
      <w:r>
        <w:rPr>
          <w:szCs w:val="28"/>
        </w:rPr>
        <w:t>19957</w:t>
      </w:r>
      <w:r w:rsidRPr="003C4792">
        <w:rPr>
          <w:szCs w:val="28"/>
        </w:rPr>
        <w:t xml:space="preserve"> </w:t>
      </w:r>
      <w:r>
        <w:rPr>
          <w:szCs w:val="28"/>
        </w:rPr>
        <w:t>із ухваленням рішення (77,44%)</w:t>
      </w:r>
      <w:r w:rsidRPr="003C4792">
        <w:rPr>
          <w:szCs w:val="28"/>
        </w:rPr>
        <w:t xml:space="preserve">; </w:t>
      </w:r>
      <w:r>
        <w:rPr>
          <w:szCs w:val="28"/>
        </w:rPr>
        <w:t>674</w:t>
      </w:r>
      <w:r w:rsidRPr="003C4792">
        <w:rPr>
          <w:szCs w:val="28"/>
        </w:rPr>
        <w:t xml:space="preserve"> </w:t>
      </w:r>
      <w:r w:rsidRPr="00D13BC0">
        <w:rPr>
          <w:szCs w:val="28"/>
        </w:rPr>
        <w:t>із закриттям провадження у справі</w:t>
      </w:r>
      <w:r>
        <w:rPr>
          <w:szCs w:val="28"/>
        </w:rPr>
        <w:t xml:space="preserve"> (2,62%); 2040 </w:t>
      </w:r>
      <w:r w:rsidRPr="00D13BC0">
        <w:rPr>
          <w:szCs w:val="28"/>
        </w:rPr>
        <w:t>із залишенням заяви без розгляду</w:t>
      </w:r>
      <w:r>
        <w:rPr>
          <w:szCs w:val="28"/>
        </w:rPr>
        <w:t xml:space="preserve"> (7,92%</w:t>
      </w:r>
      <w:r w:rsidRPr="003C4792">
        <w:rPr>
          <w:szCs w:val="28"/>
        </w:rPr>
        <w:t>)</w:t>
      </w:r>
      <w:r>
        <w:rPr>
          <w:szCs w:val="28"/>
        </w:rPr>
        <w:t xml:space="preserve">, також </w:t>
      </w:r>
      <w:r w:rsidRPr="003C4792">
        <w:rPr>
          <w:szCs w:val="28"/>
        </w:rPr>
        <w:t>видано 1</w:t>
      </w:r>
      <w:r>
        <w:rPr>
          <w:szCs w:val="28"/>
        </w:rPr>
        <w:t>992</w:t>
      </w:r>
      <w:r w:rsidRPr="003C4792">
        <w:rPr>
          <w:szCs w:val="28"/>
        </w:rPr>
        <w:t xml:space="preserve"> судових наказ</w:t>
      </w:r>
      <w:r>
        <w:rPr>
          <w:szCs w:val="28"/>
        </w:rPr>
        <w:t>и</w:t>
      </w:r>
      <w:r w:rsidRPr="003C4792">
        <w:rPr>
          <w:szCs w:val="28"/>
        </w:rPr>
        <w:t xml:space="preserve">; </w:t>
      </w:r>
      <w:r>
        <w:rPr>
          <w:szCs w:val="28"/>
        </w:rPr>
        <w:t xml:space="preserve">27 </w:t>
      </w:r>
      <w:r w:rsidRPr="003C4792">
        <w:rPr>
          <w:szCs w:val="28"/>
        </w:rPr>
        <w:t xml:space="preserve">судових наказів </w:t>
      </w:r>
      <w:r w:rsidR="00757217">
        <w:rPr>
          <w:szCs w:val="28"/>
        </w:rPr>
        <w:t xml:space="preserve">скасовано). </w:t>
      </w:r>
      <w:r>
        <w:rPr>
          <w:szCs w:val="28"/>
        </w:rPr>
        <w:t>Для порівняння</w:t>
      </w:r>
      <w:r w:rsidRPr="003C4792">
        <w:rPr>
          <w:szCs w:val="28"/>
        </w:rPr>
        <w:t xml:space="preserve"> </w:t>
      </w:r>
      <w:r>
        <w:rPr>
          <w:szCs w:val="28"/>
        </w:rPr>
        <w:t xml:space="preserve">у 2018 році розглянуто 24232 справи, у 2017 році – 29833 справи, </w:t>
      </w:r>
      <w:r w:rsidRPr="003C4792">
        <w:rPr>
          <w:color w:val="000000"/>
          <w:szCs w:val="28"/>
        </w:rPr>
        <w:t>у 2016 році</w:t>
      </w:r>
      <w:r w:rsidRPr="003C4792">
        <w:rPr>
          <w:b/>
          <w:color w:val="000000"/>
          <w:szCs w:val="28"/>
        </w:rPr>
        <w:t xml:space="preserve"> –</w:t>
      </w:r>
      <w:r>
        <w:rPr>
          <w:szCs w:val="28"/>
        </w:rPr>
        <w:t>30</w:t>
      </w:r>
      <w:r w:rsidRPr="003C4792">
        <w:rPr>
          <w:szCs w:val="28"/>
        </w:rPr>
        <w:t>172 справ, у 2015 році – 31770 справ, у 2014</w:t>
      </w:r>
      <w:r w:rsidR="00757217">
        <w:rPr>
          <w:szCs w:val="28"/>
        </w:rPr>
        <w:t xml:space="preserve"> році цей показник становив</w:t>
      </w:r>
      <w:r>
        <w:rPr>
          <w:szCs w:val="28"/>
        </w:rPr>
        <w:t xml:space="preserve"> 31</w:t>
      </w:r>
      <w:r w:rsidRPr="003C4792">
        <w:rPr>
          <w:szCs w:val="28"/>
        </w:rPr>
        <w:t>330 справ, а в 2013 році це</w:t>
      </w:r>
      <w:r>
        <w:rPr>
          <w:szCs w:val="28"/>
        </w:rPr>
        <w:t>й показник становив 34660 справ.</w:t>
      </w:r>
      <w:r w:rsidRPr="003C4792">
        <w:rPr>
          <w:szCs w:val="28"/>
        </w:rPr>
        <w:t xml:space="preserve"> </w:t>
      </w:r>
      <w:r>
        <w:rPr>
          <w:szCs w:val="28"/>
        </w:rPr>
        <w:t>Т</w:t>
      </w:r>
      <w:r w:rsidRPr="003C4792">
        <w:rPr>
          <w:szCs w:val="28"/>
        </w:rPr>
        <w:t>ому відмічається незначне з</w:t>
      </w:r>
      <w:r>
        <w:rPr>
          <w:szCs w:val="28"/>
        </w:rPr>
        <w:t xml:space="preserve">більшення </w:t>
      </w:r>
      <w:r w:rsidRPr="003C4792">
        <w:rPr>
          <w:szCs w:val="28"/>
        </w:rPr>
        <w:t>кількос</w:t>
      </w:r>
      <w:r>
        <w:rPr>
          <w:szCs w:val="28"/>
        </w:rPr>
        <w:t>ті розглянутих справ, порівняно із попереднім звітним періодом</w:t>
      </w:r>
      <w:r w:rsidRPr="003C4792">
        <w:rPr>
          <w:szCs w:val="28"/>
        </w:rPr>
        <w:t xml:space="preserve">. </w:t>
      </w:r>
      <w:r w:rsidRPr="003C4792">
        <w:rPr>
          <w:szCs w:val="28"/>
          <w:lang w:eastAsia="uk-UA"/>
        </w:rPr>
        <w:t>З</w:t>
      </w:r>
      <w:r>
        <w:rPr>
          <w:szCs w:val="28"/>
          <w:lang w:eastAsia="uk-UA"/>
        </w:rPr>
        <w:t xml:space="preserve">береглась </w:t>
      </w:r>
      <w:r w:rsidRPr="003C4792">
        <w:rPr>
          <w:szCs w:val="28"/>
        </w:rPr>
        <w:t>тенденція до збільшення н</w:t>
      </w:r>
      <w:r>
        <w:rPr>
          <w:szCs w:val="28"/>
        </w:rPr>
        <w:t>адходження</w:t>
      </w:r>
      <w:r w:rsidRPr="003C4792">
        <w:rPr>
          <w:szCs w:val="28"/>
        </w:rPr>
        <w:t xml:space="preserve"> </w:t>
      </w:r>
      <w:r>
        <w:rPr>
          <w:szCs w:val="28"/>
        </w:rPr>
        <w:t>заяв</w:t>
      </w:r>
      <w:r w:rsidRPr="003C4792">
        <w:rPr>
          <w:szCs w:val="28"/>
        </w:rPr>
        <w:t xml:space="preserve"> наказного провадження – </w:t>
      </w:r>
      <w:r>
        <w:rPr>
          <w:szCs w:val="28"/>
        </w:rPr>
        <w:t xml:space="preserve">2 538 </w:t>
      </w:r>
      <w:r w:rsidRPr="003C4792">
        <w:rPr>
          <w:szCs w:val="28"/>
        </w:rPr>
        <w:t xml:space="preserve"> розглянутих заяв, що на </w:t>
      </w:r>
      <w:r>
        <w:rPr>
          <w:szCs w:val="28"/>
        </w:rPr>
        <w:t xml:space="preserve">4.49% більше порівняно із 2018 роком – </w:t>
      </w:r>
      <w:r>
        <w:rPr>
          <w:szCs w:val="28"/>
          <w:lang w:eastAsia="uk-UA"/>
        </w:rPr>
        <w:t>2424</w:t>
      </w:r>
      <w:r w:rsidRPr="003C4792">
        <w:rPr>
          <w:szCs w:val="28"/>
          <w:lang w:eastAsia="uk-UA"/>
        </w:rPr>
        <w:t xml:space="preserve"> </w:t>
      </w:r>
      <w:r w:rsidR="00757217">
        <w:rPr>
          <w:szCs w:val="28"/>
          <w:lang w:eastAsia="uk-UA"/>
        </w:rPr>
        <w:t>розглянутих заяви.</w:t>
      </w:r>
      <w:r w:rsidRPr="003C4792">
        <w:rPr>
          <w:szCs w:val="28"/>
        </w:rPr>
        <w:t xml:space="preserve"> </w:t>
      </w:r>
      <w:r>
        <w:rPr>
          <w:szCs w:val="28"/>
        </w:rPr>
        <w:t>У 2017 році розглянуто –1659</w:t>
      </w:r>
      <w:r w:rsidRPr="003C4792">
        <w:rPr>
          <w:szCs w:val="28"/>
        </w:rPr>
        <w:t xml:space="preserve"> заяв, </w:t>
      </w:r>
      <w:r>
        <w:rPr>
          <w:szCs w:val="28"/>
        </w:rPr>
        <w:t xml:space="preserve">2016 рік – 1578 заяв, </w:t>
      </w:r>
      <w:r w:rsidRPr="003C4792">
        <w:rPr>
          <w:szCs w:val="28"/>
        </w:rPr>
        <w:t xml:space="preserve"> 2015 р</w:t>
      </w:r>
      <w:r>
        <w:rPr>
          <w:szCs w:val="28"/>
        </w:rPr>
        <w:t>ік – 2508 заяв</w:t>
      </w:r>
      <w:r w:rsidRPr="003C4792">
        <w:rPr>
          <w:szCs w:val="28"/>
        </w:rPr>
        <w:t>, 2014 р</w:t>
      </w:r>
      <w:r>
        <w:rPr>
          <w:szCs w:val="28"/>
        </w:rPr>
        <w:t>ік –</w:t>
      </w:r>
      <w:r w:rsidRPr="003C4792">
        <w:rPr>
          <w:szCs w:val="28"/>
        </w:rPr>
        <w:t xml:space="preserve"> </w:t>
      </w:r>
      <w:r>
        <w:rPr>
          <w:szCs w:val="28"/>
        </w:rPr>
        <w:t xml:space="preserve">2907 заяв, </w:t>
      </w:r>
      <w:r w:rsidRPr="003C4792">
        <w:rPr>
          <w:szCs w:val="28"/>
        </w:rPr>
        <w:t>2013 р</w:t>
      </w:r>
      <w:r>
        <w:rPr>
          <w:szCs w:val="28"/>
        </w:rPr>
        <w:t xml:space="preserve">ік – </w:t>
      </w:r>
      <w:r w:rsidRPr="003C4792">
        <w:rPr>
          <w:szCs w:val="28"/>
        </w:rPr>
        <w:t xml:space="preserve">3500 заяв. </w:t>
      </w:r>
    </w:p>
    <w:p w:rsidR="00E65B41" w:rsidRPr="00A246CD" w:rsidRDefault="00E65B41" w:rsidP="00E65B41">
      <w:pPr>
        <w:ind w:firstLine="708"/>
        <w:jc w:val="both"/>
        <w:rPr>
          <w:i/>
          <w:szCs w:val="28"/>
        </w:rPr>
      </w:pPr>
    </w:p>
    <w:p w:rsidR="00E65B41" w:rsidRPr="00A246CD" w:rsidRDefault="00E65B41" w:rsidP="00E65B41">
      <w:pPr>
        <w:ind w:firstLine="708"/>
        <w:jc w:val="both"/>
        <w:rPr>
          <w:szCs w:val="28"/>
        </w:rPr>
      </w:pPr>
      <w:r w:rsidRPr="00A246CD">
        <w:rPr>
          <w:szCs w:val="28"/>
        </w:rPr>
        <w:t xml:space="preserve">Залишились нерозглянутими на кінець звітного періоду </w:t>
      </w:r>
      <w:r>
        <w:rPr>
          <w:szCs w:val="28"/>
        </w:rPr>
        <w:t>6474 справи</w:t>
      </w:r>
      <w:r w:rsidRPr="00A246CD">
        <w:rPr>
          <w:szCs w:val="28"/>
        </w:rPr>
        <w:t xml:space="preserve">, що становить </w:t>
      </w:r>
      <w:r>
        <w:rPr>
          <w:szCs w:val="28"/>
        </w:rPr>
        <w:t xml:space="preserve"> 21,84% </w:t>
      </w:r>
      <w:r w:rsidRPr="00A246CD">
        <w:rPr>
          <w:szCs w:val="28"/>
        </w:rPr>
        <w:t xml:space="preserve">усіх справ, що </w:t>
      </w:r>
      <w:r>
        <w:rPr>
          <w:szCs w:val="28"/>
        </w:rPr>
        <w:t>знаходилися в провадженні у 2019 році,  у 2018</w:t>
      </w:r>
      <w:r w:rsidRPr="00A246CD">
        <w:rPr>
          <w:szCs w:val="28"/>
        </w:rPr>
        <w:t xml:space="preserve"> році</w:t>
      </w:r>
      <w:r>
        <w:rPr>
          <w:szCs w:val="28"/>
        </w:rPr>
        <w:t xml:space="preserve"> залишок нерозглянутих справ становив  – 6</w:t>
      </w:r>
      <w:r w:rsidR="000635E8">
        <w:rPr>
          <w:szCs w:val="28"/>
        </w:rPr>
        <w:t>909</w:t>
      </w:r>
      <w:r>
        <w:rPr>
          <w:szCs w:val="28"/>
        </w:rPr>
        <w:t xml:space="preserve"> (21,54</w:t>
      </w:r>
      <w:r w:rsidRPr="00A246CD">
        <w:rPr>
          <w:szCs w:val="28"/>
        </w:rPr>
        <w:t>%</w:t>
      </w:r>
      <w:r>
        <w:rPr>
          <w:szCs w:val="28"/>
        </w:rPr>
        <w:t>)</w:t>
      </w:r>
      <w:r w:rsidRPr="00A246CD">
        <w:rPr>
          <w:szCs w:val="28"/>
        </w:rPr>
        <w:t xml:space="preserve">, </w:t>
      </w:r>
      <w:r>
        <w:rPr>
          <w:szCs w:val="28"/>
        </w:rPr>
        <w:t xml:space="preserve">у 2017 році показник був меншим – </w:t>
      </w:r>
      <w:r w:rsidRPr="006D4C89">
        <w:rPr>
          <w:szCs w:val="28"/>
        </w:rPr>
        <w:t>5960</w:t>
      </w:r>
      <w:r>
        <w:rPr>
          <w:szCs w:val="28"/>
        </w:rPr>
        <w:t xml:space="preserve"> справ (17,24 %), </w:t>
      </w:r>
      <w:r w:rsidRPr="00A246CD">
        <w:rPr>
          <w:szCs w:val="28"/>
        </w:rPr>
        <w:t xml:space="preserve">у 2016 році </w:t>
      </w:r>
      <w:r>
        <w:rPr>
          <w:szCs w:val="28"/>
        </w:rPr>
        <w:t xml:space="preserve">- </w:t>
      </w:r>
      <w:r w:rsidRPr="00A246CD">
        <w:rPr>
          <w:szCs w:val="28"/>
        </w:rPr>
        <w:t>57</w:t>
      </w:r>
      <w:r>
        <w:rPr>
          <w:szCs w:val="28"/>
        </w:rPr>
        <w:t>49 справ</w:t>
      </w:r>
      <w:r w:rsidRPr="00A246CD">
        <w:rPr>
          <w:szCs w:val="28"/>
        </w:rPr>
        <w:t xml:space="preserve"> (16,05 %), показник 2015 року  становив 4494 справи (13,31 %), у  2014 році нерозглянутими залиши</w:t>
      </w:r>
      <w:r>
        <w:rPr>
          <w:szCs w:val="28"/>
        </w:rPr>
        <w:t>ли</w:t>
      </w:r>
      <w:r w:rsidRPr="00A246CD">
        <w:rPr>
          <w:szCs w:val="28"/>
        </w:rPr>
        <w:t xml:space="preserve">сь 3369 справ (10,4%). Найбільшу кількість нерозглянутих справ становлять спори, що виникають із сімейних правовідносин  – </w:t>
      </w:r>
      <w:r>
        <w:rPr>
          <w:szCs w:val="28"/>
        </w:rPr>
        <w:t xml:space="preserve">1906, </w:t>
      </w:r>
      <w:r w:rsidRPr="00A246CD">
        <w:rPr>
          <w:szCs w:val="28"/>
        </w:rPr>
        <w:t xml:space="preserve">що виникають із </w:t>
      </w:r>
      <w:r>
        <w:rPr>
          <w:szCs w:val="28"/>
        </w:rPr>
        <w:t>правочинів</w:t>
      </w:r>
      <w:r w:rsidRPr="00A246CD">
        <w:rPr>
          <w:szCs w:val="28"/>
        </w:rPr>
        <w:t xml:space="preserve"> –</w:t>
      </w:r>
      <w:r>
        <w:rPr>
          <w:szCs w:val="28"/>
        </w:rPr>
        <w:t xml:space="preserve"> 1569</w:t>
      </w:r>
      <w:r w:rsidRPr="00A246CD">
        <w:rPr>
          <w:szCs w:val="28"/>
        </w:rPr>
        <w:t xml:space="preserve"> (із них </w:t>
      </w:r>
      <w:r>
        <w:rPr>
          <w:szCs w:val="28"/>
        </w:rPr>
        <w:t xml:space="preserve">991 – </w:t>
      </w:r>
      <w:r w:rsidRPr="00A246CD">
        <w:rPr>
          <w:szCs w:val="28"/>
        </w:rPr>
        <w:t>спор</w:t>
      </w:r>
      <w:r>
        <w:rPr>
          <w:szCs w:val="28"/>
        </w:rPr>
        <w:t>и</w:t>
      </w:r>
      <w:r w:rsidRPr="00A246CD">
        <w:rPr>
          <w:szCs w:val="28"/>
        </w:rPr>
        <w:t xml:space="preserve">, що виникають </w:t>
      </w:r>
      <w:r>
        <w:rPr>
          <w:szCs w:val="28"/>
        </w:rPr>
        <w:t xml:space="preserve">з </w:t>
      </w:r>
      <w:r w:rsidRPr="00A56F97">
        <w:rPr>
          <w:szCs w:val="28"/>
        </w:rPr>
        <w:t>позики, кредиту, банківського вкладу</w:t>
      </w:r>
      <w:r w:rsidRPr="00A246CD">
        <w:rPr>
          <w:szCs w:val="28"/>
        </w:rPr>
        <w:t>).</w:t>
      </w:r>
    </w:p>
    <w:p w:rsidR="00E65B41" w:rsidRPr="00A246CD" w:rsidRDefault="00E65B41" w:rsidP="00E65B41">
      <w:pPr>
        <w:jc w:val="both"/>
        <w:rPr>
          <w:szCs w:val="28"/>
        </w:rPr>
      </w:pPr>
    </w:p>
    <w:p w:rsidR="00E65B41" w:rsidRDefault="00E65B41" w:rsidP="0007407D">
      <w:pPr>
        <w:ind w:firstLine="708"/>
        <w:jc w:val="both"/>
        <w:rPr>
          <w:szCs w:val="28"/>
        </w:rPr>
      </w:pPr>
      <w:r w:rsidRPr="00A246CD">
        <w:rPr>
          <w:szCs w:val="28"/>
        </w:rPr>
        <w:t xml:space="preserve">Найбільша питома вага нерозглянутих </w:t>
      </w:r>
      <w:r>
        <w:rPr>
          <w:szCs w:val="28"/>
        </w:rPr>
        <w:t xml:space="preserve">справ та матеріалів </w:t>
      </w:r>
      <w:r w:rsidRPr="00A246CD">
        <w:rPr>
          <w:szCs w:val="28"/>
        </w:rPr>
        <w:t>цивільн</w:t>
      </w:r>
      <w:r>
        <w:rPr>
          <w:szCs w:val="28"/>
        </w:rPr>
        <w:t>ого</w:t>
      </w:r>
      <w:r w:rsidRPr="00A246CD">
        <w:rPr>
          <w:szCs w:val="28"/>
        </w:rPr>
        <w:t xml:space="preserve"> с</w:t>
      </w:r>
      <w:r>
        <w:rPr>
          <w:szCs w:val="28"/>
        </w:rPr>
        <w:t>удочинства</w:t>
      </w:r>
      <w:r w:rsidRPr="00A246CD">
        <w:rPr>
          <w:szCs w:val="28"/>
        </w:rPr>
        <w:t xml:space="preserve"> на кінець звітного періоду</w:t>
      </w:r>
      <w:r>
        <w:rPr>
          <w:szCs w:val="28"/>
        </w:rPr>
        <w:t xml:space="preserve"> у</w:t>
      </w:r>
      <w:r w:rsidRPr="00A246CD">
        <w:rPr>
          <w:szCs w:val="28"/>
        </w:rPr>
        <w:t xml:space="preserve"> </w:t>
      </w:r>
      <w:r>
        <w:rPr>
          <w:szCs w:val="28"/>
        </w:rPr>
        <w:t>Теплицькому ра</w:t>
      </w:r>
      <w:r w:rsidR="0007407D">
        <w:rPr>
          <w:szCs w:val="28"/>
        </w:rPr>
        <w:t xml:space="preserve">йонному суді Вінницької області – </w:t>
      </w:r>
      <w:r>
        <w:rPr>
          <w:szCs w:val="28"/>
        </w:rPr>
        <w:t>526 справ (50,63%), Іллінецькому районному су</w:t>
      </w:r>
      <w:r w:rsidR="0007407D">
        <w:rPr>
          <w:szCs w:val="28"/>
        </w:rPr>
        <w:t xml:space="preserve">ді – </w:t>
      </w:r>
      <w:r>
        <w:rPr>
          <w:szCs w:val="28"/>
        </w:rPr>
        <w:t>328 справ (34,27%), Тульчинському районному суді – 376 справ</w:t>
      </w:r>
      <w:r w:rsidR="0007407D">
        <w:rPr>
          <w:szCs w:val="28"/>
        </w:rPr>
        <w:t xml:space="preserve"> </w:t>
      </w:r>
      <w:r>
        <w:rPr>
          <w:szCs w:val="28"/>
        </w:rPr>
        <w:t>(33,48%), Тиврівському районному суді – 349 (31,19%).  Даний показник наглядно ілюструє відсутність суддівського складу в суді. Так</w:t>
      </w:r>
      <w:r w:rsidR="0007407D">
        <w:rPr>
          <w:szCs w:val="28"/>
        </w:rPr>
        <w:t>,</w:t>
      </w:r>
      <w:r>
        <w:rPr>
          <w:szCs w:val="28"/>
        </w:rPr>
        <w:t xml:space="preserve"> залишок справ та матеріалів цивільного судочинства в Оратівському районному суді становить 100%. </w:t>
      </w:r>
    </w:p>
    <w:p w:rsidR="00E65B41" w:rsidRPr="00A246CD" w:rsidRDefault="00E65B41" w:rsidP="00E65B41">
      <w:pPr>
        <w:ind w:firstLine="708"/>
        <w:jc w:val="both"/>
        <w:rPr>
          <w:szCs w:val="28"/>
        </w:rPr>
      </w:pPr>
    </w:p>
    <w:p w:rsidR="00E65B41" w:rsidRPr="00A246CD" w:rsidRDefault="00E65B41" w:rsidP="00E65B41">
      <w:pPr>
        <w:jc w:val="both"/>
        <w:rPr>
          <w:szCs w:val="28"/>
        </w:rPr>
      </w:pPr>
      <w:r w:rsidRPr="00A246CD">
        <w:rPr>
          <w:szCs w:val="28"/>
        </w:rPr>
        <w:t xml:space="preserve">         За звітний період скасовано і змінено в апеляційному порядку </w:t>
      </w:r>
      <w:r>
        <w:rPr>
          <w:szCs w:val="28"/>
        </w:rPr>
        <w:t xml:space="preserve">653   </w:t>
      </w:r>
      <w:r w:rsidRPr="00A246CD">
        <w:rPr>
          <w:szCs w:val="28"/>
        </w:rPr>
        <w:t xml:space="preserve">  рішення місцевих загальних судів</w:t>
      </w:r>
      <w:r>
        <w:rPr>
          <w:szCs w:val="28"/>
        </w:rPr>
        <w:t>, 3,24%</w:t>
      </w:r>
      <w:r w:rsidRPr="00A246CD">
        <w:rPr>
          <w:szCs w:val="28"/>
        </w:rPr>
        <w:t xml:space="preserve"> від загального числа судових </w:t>
      </w:r>
      <w:r>
        <w:rPr>
          <w:szCs w:val="28"/>
        </w:rPr>
        <w:t xml:space="preserve">справ </w:t>
      </w:r>
      <w:r w:rsidRPr="003E4BEF">
        <w:rPr>
          <w:szCs w:val="28"/>
        </w:rPr>
        <w:t>із ухваленням рішення</w:t>
      </w:r>
      <w:r>
        <w:rPr>
          <w:szCs w:val="28"/>
        </w:rPr>
        <w:t>, ухвалених в першій інстанції.</w:t>
      </w:r>
      <w:r w:rsidRPr="00A246CD">
        <w:rPr>
          <w:szCs w:val="28"/>
        </w:rPr>
        <w:t xml:space="preserve"> </w:t>
      </w:r>
      <w:r>
        <w:rPr>
          <w:szCs w:val="28"/>
        </w:rPr>
        <w:t xml:space="preserve">У 2018 році  470 рішень – </w:t>
      </w:r>
      <w:r w:rsidRPr="00A246CD">
        <w:rPr>
          <w:szCs w:val="28"/>
        </w:rPr>
        <w:t xml:space="preserve">або  </w:t>
      </w:r>
      <w:r>
        <w:rPr>
          <w:szCs w:val="28"/>
        </w:rPr>
        <w:t>2,16%,</w:t>
      </w:r>
      <w:r w:rsidRPr="00A246CD">
        <w:rPr>
          <w:szCs w:val="28"/>
        </w:rPr>
        <w:t xml:space="preserve"> </w:t>
      </w:r>
      <w:r>
        <w:rPr>
          <w:szCs w:val="28"/>
        </w:rPr>
        <w:t xml:space="preserve">у 2017 році  716 рішень – 2,39 %, </w:t>
      </w:r>
      <w:r w:rsidRPr="00A246CD">
        <w:rPr>
          <w:szCs w:val="28"/>
        </w:rPr>
        <w:t>у 2016 році 763 рішен</w:t>
      </w:r>
      <w:r>
        <w:rPr>
          <w:szCs w:val="28"/>
        </w:rPr>
        <w:t>ня</w:t>
      </w:r>
      <w:r w:rsidRPr="00A246CD">
        <w:rPr>
          <w:szCs w:val="28"/>
        </w:rPr>
        <w:t xml:space="preserve"> – 3,03 %,  у 2015 році даний показник становив 700 рішень – 2,78 %, у 2014 році 837 рішень – </w:t>
      </w:r>
      <w:r>
        <w:rPr>
          <w:szCs w:val="28"/>
        </w:rPr>
        <w:t xml:space="preserve">3,5%, </w:t>
      </w:r>
      <w:r w:rsidR="0007407D">
        <w:rPr>
          <w:szCs w:val="28"/>
        </w:rPr>
        <w:t>у 2013 році – 844 (3,25</w:t>
      </w:r>
      <w:r w:rsidRPr="00A246CD">
        <w:rPr>
          <w:szCs w:val="28"/>
        </w:rPr>
        <w:t>%).</w:t>
      </w:r>
    </w:p>
    <w:p w:rsidR="00505BA7" w:rsidRPr="0007407D" w:rsidRDefault="00E65B41" w:rsidP="0007407D">
      <w:pPr>
        <w:ind w:firstLine="708"/>
        <w:jc w:val="both"/>
        <w:rPr>
          <w:szCs w:val="28"/>
        </w:rPr>
      </w:pPr>
      <w:r w:rsidRPr="00A246CD">
        <w:rPr>
          <w:szCs w:val="28"/>
        </w:rPr>
        <w:t xml:space="preserve">Найбільший відсоток скасованих та змінених рішень </w:t>
      </w:r>
      <w:r>
        <w:rPr>
          <w:szCs w:val="28"/>
        </w:rPr>
        <w:t>Липовецького районного суду (5,23%), Козятинського міськрайонного</w:t>
      </w:r>
      <w:r w:rsidRPr="002677B9">
        <w:rPr>
          <w:szCs w:val="28"/>
        </w:rPr>
        <w:t xml:space="preserve"> суд</w:t>
      </w:r>
      <w:r>
        <w:rPr>
          <w:szCs w:val="28"/>
        </w:rPr>
        <w:t>у</w:t>
      </w:r>
      <w:r w:rsidRPr="002677B9">
        <w:rPr>
          <w:szCs w:val="28"/>
        </w:rPr>
        <w:t xml:space="preserve"> </w:t>
      </w:r>
      <w:r w:rsidRPr="00A246CD">
        <w:rPr>
          <w:szCs w:val="28"/>
        </w:rPr>
        <w:t>(</w:t>
      </w:r>
      <w:r>
        <w:rPr>
          <w:szCs w:val="28"/>
        </w:rPr>
        <w:t>4,92%), Калинівського районного суду</w:t>
      </w:r>
      <w:r w:rsidRPr="003E4BEF">
        <w:rPr>
          <w:szCs w:val="28"/>
        </w:rPr>
        <w:t xml:space="preserve"> (</w:t>
      </w:r>
      <w:r>
        <w:rPr>
          <w:szCs w:val="28"/>
        </w:rPr>
        <w:t>4,91</w:t>
      </w:r>
      <w:r w:rsidRPr="003E4BEF">
        <w:rPr>
          <w:szCs w:val="28"/>
        </w:rPr>
        <w:t>%)</w:t>
      </w:r>
      <w:r w:rsidR="0007407D">
        <w:rPr>
          <w:szCs w:val="28"/>
        </w:rPr>
        <w:t>.</w:t>
      </w:r>
    </w:p>
    <w:p w:rsidR="003461F3" w:rsidRDefault="003461F3" w:rsidP="003461F3">
      <w:pPr>
        <w:pStyle w:val="a5"/>
        <w:rPr>
          <w:b/>
          <w:bCs/>
        </w:rPr>
      </w:pPr>
    </w:p>
    <w:p w:rsidR="00E65B41" w:rsidRPr="00ED04E8" w:rsidRDefault="00505BA7" w:rsidP="003461F3">
      <w:pPr>
        <w:pStyle w:val="a5"/>
        <w:jc w:val="center"/>
        <w:rPr>
          <w:b/>
          <w:bCs/>
        </w:rPr>
      </w:pPr>
      <w:r>
        <w:rPr>
          <w:b/>
          <w:bCs/>
        </w:rPr>
        <w:lastRenderedPageBreak/>
        <w:t xml:space="preserve">КРИМІНАЛЬНЕ </w:t>
      </w:r>
      <w:r w:rsidR="00E65B41" w:rsidRPr="00ED04E8">
        <w:rPr>
          <w:b/>
          <w:bCs/>
        </w:rPr>
        <w:t>СУДОЧИНСТВО</w:t>
      </w:r>
    </w:p>
    <w:p w:rsidR="00E65B41" w:rsidRPr="00ED04E8" w:rsidRDefault="00E65B41" w:rsidP="00E65B41">
      <w:pPr>
        <w:pStyle w:val="a5"/>
      </w:pPr>
      <w:r w:rsidRPr="00ED04E8">
        <w:tab/>
      </w:r>
    </w:p>
    <w:p w:rsidR="00E65B41" w:rsidRPr="000B23E2" w:rsidRDefault="00E65B41" w:rsidP="00E65B41">
      <w:pPr>
        <w:pStyle w:val="a5"/>
        <w:rPr>
          <w:szCs w:val="28"/>
        </w:rPr>
      </w:pPr>
      <w:r w:rsidRPr="00ED04E8">
        <w:tab/>
        <w:t xml:space="preserve">У </w:t>
      </w:r>
      <w:r w:rsidR="00505BA7">
        <w:t>2019</w:t>
      </w:r>
      <w:r w:rsidRPr="00ED04E8">
        <w:rPr>
          <w:szCs w:val="28"/>
        </w:rPr>
        <w:t xml:space="preserve"> ро</w:t>
      </w:r>
      <w:r>
        <w:rPr>
          <w:szCs w:val="28"/>
        </w:rPr>
        <w:t>ці</w:t>
      </w:r>
      <w:r w:rsidRPr="00ED04E8">
        <w:t xml:space="preserve"> в провадженні місцевих загальних судів Вінницької області знаходилось</w:t>
      </w:r>
      <w:r>
        <w:t xml:space="preserve"> 7274 </w:t>
      </w:r>
      <w:r w:rsidRPr="00ED04E8">
        <w:t>кримінальн</w:t>
      </w:r>
      <w:r>
        <w:t xml:space="preserve">их провадження, даний показник збільшився </w:t>
      </w:r>
      <w:r w:rsidRPr="00ED04E8">
        <w:t xml:space="preserve">на </w:t>
      </w:r>
      <w:r>
        <w:t>2,</w:t>
      </w:r>
      <w:r w:rsidR="00740F44">
        <w:t>8</w:t>
      </w:r>
      <w:r>
        <w:t xml:space="preserve">7% </w:t>
      </w:r>
      <w:r w:rsidRPr="00ED04E8">
        <w:t xml:space="preserve">порівняно </w:t>
      </w:r>
      <w:r>
        <w:t xml:space="preserve"> з </w:t>
      </w:r>
      <w:r>
        <w:rPr>
          <w:szCs w:val="28"/>
        </w:rPr>
        <w:t xml:space="preserve">2018 роком –  </w:t>
      </w:r>
      <w:r w:rsidR="00505BA7">
        <w:t>7071 кримінальне провадження,</w:t>
      </w:r>
      <w:r w:rsidRPr="00ED04E8">
        <w:t xml:space="preserve"> 201</w:t>
      </w:r>
      <w:r>
        <w:t>7</w:t>
      </w:r>
      <w:r w:rsidRPr="00ED04E8">
        <w:t xml:space="preserve"> р</w:t>
      </w:r>
      <w:r>
        <w:t>ік</w:t>
      </w:r>
      <w:r w:rsidRPr="00ED04E8">
        <w:t xml:space="preserve"> (</w:t>
      </w:r>
      <w:r>
        <w:t xml:space="preserve">6274 </w:t>
      </w:r>
      <w:r w:rsidRPr="00ED04E8">
        <w:t>справ</w:t>
      </w:r>
      <w:r>
        <w:t>и</w:t>
      </w:r>
      <w:r w:rsidR="00505BA7">
        <w:t>).</w:t>
      </w:r>
    </w:p>
    <w:p w:rsidR="00E65B41" w:rsidRPr="00ED04E8" w:rsidRDefault="00E65B41" w:rsidP="00E65B41">
      <w:pPr>
        <w:jc w:val="both"/>
      </w:pPr>
      <w:r w:rsidRPr="00ED04E8">
        <w:tab/>
      </w:r>
    </w:p>
    <w:p w:rsidR="00E65B41" w:rsidRPr="00ED04E8" w:rsidRDefault="00E65B41" w:rsidP="00E65B41">
      <w:pPr>
        <w:ind w:firstLine="708"/>
        <w:jc w:val="both"/>
      </w:pPr>
      <w:r w:rsidRPr="00ED04E8">
        <w:t xml:space="preserve">Впродовж звітного періоду місцевими судами </w:t>
      </w:r>
      <w:r w:rsidR="00505BA7">
        <w:t xml:space="preserve">розглянуто </w:t>
      </w:r>
      <w:r>
        <w:t>3873 провадження</w:t>
      </w:r>
      <w:r w:rsidRPr="00ED04E8">
        <w:t>, що становить</w:t>
      </w:r>
      <w:r>
        <w:rPr>
          <w:lang w:val="ru-RU"/>
        </w:rPr>
        <w:t xml:space="preserve"> 53,24%</w:t>
      </w:r>
      <w:r w:rsidRPr="00ED04E8">
        <w:t xml:space="preserve"> від справ, що перебували </w:t>
      </w:r>
      <w:r w:rsidR="0007407D">
        <w:t>на розгляді</w:t>
      </w:r>
      <w:r w:rsidRPr="00ED04E8">
        <w:t xml:space="preserve">, з яких </w:t>
      </w:r>
      <w:r>
        <w:t xml:space="preserve">2776 </w:t>
      </w:r>
      <w:r w:rsidRPr="00ED04E8">
        <w:t xml:space="preserve"> роз</w:t>
      </w:r>
      <w:r>
        <w:t>глянуто з постановленням  вироку, в 462 з них затверджено угоду.</w:t>
      </w:r>
    </w:p>
    <w:p w:rsidR="00E65B41" w:rsidRPr="00ED04E8" w:rsidRDefault="00E65B41" w:rsidP="00E65B41">
      <w:pPr>
        <w:ind w:firstLine="708"/>
        <w:jc w:val="both"/>
      </w:pPr>
    </w:p>
    <w:p w:rsidR="00E65B41" w:rsidRPr="00ED04E8" w:rsidRDefault="00E65B41" w:rsidP="00E65B41">
      <w:pPr>
        <w:ind w:firstLine="708"/>
        <w:jc w:val="both"/>
        <w:rPr>
          <w:bCs/>
          <w:szCs w:val="28"/>
        </w:rPr>
      </w:pPr>
      <w:r w:rsidRPr="00ED04E8">
        <w:t xml:space="preserve">Найбільшу кількість розглянутих місцевими судами кримінальних </w:t>
      </w:r>
      <w:r>
        <w:t>проваджень</w:t>
      </w:r>
      <w:r w:rsidRPr="00ED04E8">
        <w:t xml:space="preserve"> становлять справи про</w:t>
      </w:r>
      <w:r>
        <w:t>:</w:t>
      </w:r>
      <w:r w:rsidRPr="00ED04E8">
        <w:t xml:space="preserve"> злочини проти власності – </w:t>
      </w:r>
      <w:r>
        <w:t>1664</w:t>
      </w:r>
      <w:r w:rsidRPr="00ED04E8">
        <w:t xml:space="preserve"> (</w:t>
      </w:r>
      <w:r>
        <w:t>42,96</w:t>
      </w:r>
      <w:r w:rsidRPr="00ED04E8">
        <w:t>%)</w:t>
      </w:r>
      <w:r>
        <w:t>,</w:t>
      </w:r>
      <w:r w:rsidRPr="00ED04E8">
        <w:t xml:space="preserve"> злочини проти життя та здоров'я особи – </w:t>
      </w:r>
      <w:r>
        <w:t>786</w:t>
      </w:r>
      <w:r w:rsidRPr="00ED04E8">
        <w:t>(</w:t>
      </w:r>
      <w:r>
        <w:t>20,29</w:t>
      </w:r>
      <w:r w:rsidRPr="00ED04E8">
        <w:t>%)</w:t>
      </w:r>
      <w:r>
        <w:t xml:space="preserve">, </w:t>
      </w:r>
      <w:r w:rsidRPr="00ED04E8">
        <w:t xml:space="preserve">злочини у сфері обігу наркотичних засобів – </w:t>
      </w:r>
      <w:r>
        <w:t>412</w:t>
      </w:r>
      <w:r w:rsidRPr="00ED04E8">
        <w:t xml:space="preserve"> (</w:t>
      </w:r>
      <w:r>
        <w:t>10,64</w:t>
      </w:r>
      <w:r w:rsidRPr="00ED04E8">
        <w:t>%)</w:t>
      </w:r>
      <w:r>
        <w:t>.</w:t>
      </w:r>
      <w:r w:rsidRPr="00ED04E8">
        <w:t xml:space="preserve"> </w:t>
      </w:r>
    </w:p>
    <w:p w:rsidR="00E65B41" w:rsidRPr="00ED04E8" w:rsidRDefault="00E65B41" w:rsidP="00E65B41">
      <w:pPr>
        <w:ind w:firstLine="708"/>
        <w:jc w:val="both"/>
      </w:pPr>
    </w:p>
    <w:p w:rsidR="00E65B41" w:rsidRDefault="00E65B41" w:rsidP="00E65B41">
      <w:pPr>
        <w:ind w:firstLine="708"/>
        <w:jc w:val="both"/>
      </w:pPr>
      <w:r w:rsidRPr="00ED04E8">
        <w:t>Питома вага вищевказаних категорій кримінальних справ проілюстрована у діаграмі:</w:t>
      </w:r>
      <w:r w:rsidRPr="00ED04E8">
        <w:tab/>
      </w:r>
    </w:p>
    <w:p w:rsidR="00E65B41" w:rsidRDefault="00E65B41" w:rsidP="00E65B41">
      <w:pPr>
        <w:ind w:firstLine="708"/>
        <w:jc w:val="both"/>
        <w:rPr>
          <w:noProof/>
          <w:lang w:val="ru-RU"/>
        </w:rPr>
      </w:pPr>
    </w:p>
    <w:p w:rsidR="00E65B41" w:rsidRPr="00ED04E8" w:rsidRDefault="00856422" w:rsidP="00E65B41">
      <w:pPr>
        <w:ind w:firstLine="708"/>
        <w:jc w:val="both"/>
      </w:pPr>
      <w:r>
        <w:rPr>
          <w:noProof/>
          <w:lang w:val="ru-RU"/>
        </w:rPr>
        <w:drawing>
          <wp:inline distT="0" distB="0" distL="0" distR="0">
            <wp:extent cx="6056630" cy="3616325"/>
            <wp:effectExtent l="0" t="0" r="20320" b="22225"/>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5B41" w:rsidRPr="00ED04E8" w:rsidRDefault="00E65B41" w:rsidP="00E65B41">
      <w:pPr>
        <w:jc w:val="both"/>
      </w:pPr>
    </w:p>
    <w:p w:rsidR="00E65B41" w:rsidRDefault="00E65B41" w:rsidP="00E65B41">
      <w:pPr>
        <w:jc w:val="center"/>
        <w:rPr>
          <w:b/>
        </w:rPr>
      </w:pPr>
    </w:p>
    <w:p w:rsidR="00E65B41" w:rsidRPr="00ED04E8" w:rsidRDefault="00E65B41" w:rsidP="00E65B41">
      <w:pPr>
        <w:jc w:val="center"/>
        <w:rPr>
          <w:b/>
        </w:rPr>
      </w:pPr>
    </w:p>
    <w:p w:rsidR="00E65B41" w:rsidRDefault="00E65B41" w:rsidP="00E65B41">
      <w:pPr>
        <w:pStyle w:val="a5"/>
        <w:ind w:firstLine="708"/>
      </w:pPr>
      <w:r w:rsidRPr="00ED04E8">
        <w:t>На кінець звітного періоду залишились нерозглянутими</w:t>
      </w:r>
      <w:r>
        <w:t xml:space="preserve"> 3401 </w:t>
      </w:r>
      <w:r w:rsidRPr="00ED04E8">
        <w:t xml:space="preserve">  кримінальн</w:t>
      </w:r>
      <w:r>
        <w:t>і</w:t>
      </w:r>
      <w:r w:rsidRPr="00ED04E8">
        <w:t xml:space="preserve"> </w:t>
      </w:r>
      <w:r>
        <w:t>провадження</w:t>
      </w:r>
      <w:r w:rsidRPr="00ED04E8">
        <w:t xml:space="preserve"> (</w:t>
      </w:r>
      <w:r>
        <w:t>46,76 %</w:t>
      </w:r>
      <w:r>
        <w:rPr>
          <w:lang w:val="ru-RU"/>
        </w:rPr>
        <w:t xml:space="preserve">). </w:t>
      </w:r>
      <w:r w:rsidRPr="00ED04E8">
        <w:t xml:space="preserve">У </w:t>
      </w:r>
      <w:r>
        <w:t xml:space="preserve">2018 році </w:t>
      </w:r>
      <w:r w:rsidRPr="00ED04E8">
        <w:t>залишок нерозглянутих справ становив</w:t>
      </w:r>
      <w:r>
        <w:t xml:space="preserve">  3820 проваджень (54,02%), у 2017 </w:t>
      </w:r>
      <w:r w:rsidRPr="00ED04E8">
        <w:t>ро</w:t>
      </w:r>
      <w:r>
        <w:t>ці – 30,15 %, у 2015 - 22,98</w:t>
      </w:r>
      <w:r>
        <w:rPr>
          <w:lang w:val="ru-RU"/>
        </w:rPr>
        <w:t>%</w:t>
      </w:r>
      <w:r w:rsidR="00505BA7">
        <w:t>,</w:t>
      </w:r>
      <w:r>
        <w:t xml:space="preserve"> у 2014 – </w:t>
      </w:r>
      <w:r>
        <w:rPr>
          <w:lang w:val="ru-RU"/>
        </w:rPr>
        <w:t xml:space="preserve">17,44%, у </w:t>
      </w:r>
      <w:r w:rsidRPr="00ED04E8">
        <w:lastRenderedPageBreak/>
        <w:t>201</w:t>
      </w:r>
      <w:r w:rsidRPr="00104701">
        <w:rPr>
          <w:lang w:val="ru-RU"/>
        </w:rPr>
        <w:t>3</w:t>
      </w:r>
      <w:r>
        <w:rPr>
          <w:lang w:val="ru-RU"/>
        </w:rPr>
        <w:t xml:space="preserve"> – </w:t>
      </w:r>
      <w:r>
        <w:t>18,56%</w:t>
      </w:r>
      <w:r w:rsidRPr="00ED04E8">
        <w:t>, що свідчить про</w:t>
      </w:r>
      <w:r>
        <w:t xml:space="preserve"> незначне </w:t>
      </w:r>
      <w:r w:rsidRPr="00ED04E8">
        <w:t xml:space="preserve"> по</w:t>
      </w:r>
      <w:r>
        <w:t>кращення</w:t>
      </w:r>
      <w:r w:rsidRPr="00ED04E8">
        <w:t xml:space="preserve"> оперативності розгляду справ у поточному звітному періоді. </w:t>
      </w:r>
    </w:p>
    <w:p w:rsidR="00E65B41" w:rsidRPr="00054D37" w:rsidRDefault="00E65B41" w:rsidP="00E65B41">
      <w:pPr>
        <w:pStyle w:val="a5"/>
        <w:ind w:firstLine="708"/>
      </w:pPr>
    </w:p>
    <w:p w:rsidR="00E65B41" w:rsidRDefault="00E65B41" w:rsidP="00E65B41">
      <w:pPr>
        <w:pStyle w:val="a5"/>
      </w:pPr>
      <w:r w:rsidRPr="00ED04E8">
        <w:tab/>
      </w:r>
      <w:r w:rsidRPr="00E729B8">
        <w:t>Значною перешкодою оперативності розгляду кримінальних справ є неявка в судове засідання учасників процесу. В більшості випадків розгляд справи було відкладено у зв’язку з неприбуттям обвинуваченого</w:t>
      </w:r>
      <w:r>
        <w:t xml:space="preserve"> (3658 – 18,97 %) та</w:t>
      </w:r>
      <w:r w:rsidRPr="00E729B8">
        <w:t xml:space="preserve"> у зв’язку з неприбуттям свідків та потерпілих</w:t>
      </w:r>
      <w:r>
        <w:t xml:space="preserve"> (2691 – 13,95%)</w:t>
      </w:r>
      <w:r w:rsidRPr="00E729B8">
        <w:t xml:space="preserve"> </w:t>
      </w:r>
      <w:r>
        <w:t xml:space="preserve">порівняно від </w:t>
      </w:r>
      <w:r w:rsidRPr="00E729B8">
        <w:t>кільк</w:t>
      </w:r>
      <w:r>
        <w:t>ості</w:t>
      </w:r>
      <w:r w:rsidRPr="00E729B8">
        <w:t xml:space="preserve"> усіх факт</w:t>
      </w:r>
      <w:r>
        <w:t>ів відкладення розгляду справи</w:t>
      </w:r>
      <w:r w:rsidRPr="00E729B8">
        <w:t xml:space="preserve">. </w:t>
      </w:r>
      <w:r>
        <w:t xml:space="preserve"> </w:t>
      </w:r>
    </w:p>
    <w:p w:rsidR="00E65B41" w:rsidRPr="00ED04E8" w:rsidRDefault="00E65B41" w:rsidP="00E65B41">
      <w:pPr>
        <w:pStyle w:val="a5"/>
      </w:pPr>
    </w:p>
    <w:p w:rsidR="00E65B41" w:rsidRPr="00D93D82" w:rsidRDefault="00E65B41" w:rsidP="00E65B41">
      <w:pPr>
        <w:pStyle w:val="a5"/>
        <w:ind w:firstLine="708"/>
      </w:pPr>
      <w:r w:rsidRPr="00D93D82">
        <w:t>Із розглянутих у 201</w:t>
      </w:r>
      <w:r>
        <w:t>9</w:t>
      </w:r>
      <w:r w:rsidRPr="00D93D82">
        <w:t xml:space="preserve"> році </w:t>
      </w:r>
      <w:r>
        <w:t xml:space="preserve">матеріалів кримінального </w:t>
      </w:r>
      <w:r w:rsidRPr="00D93D82">
        <w:t>проваджен</w:t>
      </w:r>
      <w:r>
        <w:t>ня</w:t>
      </w:r>
      <w:r w:rsidRPr="00D93D82">
        <w:t xml:space="preserve"> </w:t>
      </w:r>
      <w:r>
        <w:t xml:space="preserve">13 587 проваджень </w:t>
      </w:r>
      <w:r w:rsidRPr="00D93D82">
        <w:t xml:space="preserve">були розглянуті із фіксуванням судового процесу технічними засобами, </w:t>
      </w:r>
      <w:r>
        <w:t xml:space="preserve">в 702 провадженнях розгляд здійснювався </w:t>
      </w:r>
      <w:r w:rsidRPr="00D93D82">
        <w:t xml:space="preserve"> у режимі відеоконференції, даний показник  з</w:t>
      </w:r>
      <w:r>
        <w:t>більшився</w:t>
      </w:r>
      <w:r w:rsidRPr="00D93D82">
        <w:t xml:space="preserve">  порівняно із попереднім звітним періодом</w:t>
      </w:r>
      <w:r>
        <w:t>. Дві</w:t>
      </w:r>
      <w:r w:rsidRPr="00D93D82">
        <w:t xml:space="preserve"> справи було розглянуто судом присяжних.  </w:t>
      </w:r>
    </w:p>
    <w:p w:rsidR="00E65B41" w:rsidRPr="00D93D82" w:rsidRDefault="00E65B41" w:rsidP="00E65B41">
      <w:pPr>
        <w:pStyle w:val="a5"/>
      </w:pPr>
      <w:r w:rsidRPr="00D93D82">
        <w:tab/>
      </w:r>
    </w:p>
    <w:p w:rsidR="00E65B41" w:rsidRDefault="00E65B41" w:rsidP="00E65B41">
      <w:pPr>
        <w:pStyle w:val="a5"/>
        <w:ind w:firstLine="708"/>
      </w:pPr>
      <w:r w:rsidRPr="00D93D82">
        <w:t xml:space="preserve">Впродовж звітного періоду до місцевих загальних судів області надійшло </w:t>
      </w:r>
      <w:r>
        <w:t xml:space="preserve">35403 </w:t>
      </w:r>
      <w:r w:rsidRPr="00D93D82">
        <w:t>клопотан</w:t>
      </w:r>
      <w:r>
        <w:t>ня</w:t>
      </w:r>
      <w:r w:rsidRPr="00D93D82">
        <w:t xml:space="preserve"> слідчого, прокурора та інших осіб під час досудового розслідування (даний показник </w:t>
      </w:r>
      <w:r>
        <w:t>суттєво не змінився в порівнянні із попереднім звітним періодом – 2018 рік (35724) )</w:t>
      </w:r>
      <w:r w:rsidRPr="00D93D82">
        <w:t xml:space="preserve">. Також надійшло </w:t>
      </w:r>
      <w:r>
        <w:t>1990</w:t>
      </w:r>
      <w:r w:rsidRPr="00BA4466">
        <w:t xml:space="preserve"> </w:t>
      </w:r>
      <w:r>
        <w:t xml:space="preserve">скарг </w:t>
      </w:r>
      <w:r w:rsidRPr="00D93D82">
        <w:t>на дії, рішення чи бездіяльність слідчого, прокурора та інших осіб  під час досудового розслідування</w:t>
      </w:r>
      <w:r>
        <w:t xml:space="preserve">, що також не суттєво відрізняється від показника 2018 року – </w:t>
      </w:r>
      <w:r w:rsidRPr="00D93D82">
        <w:t>1</w:t>
      </w:r>
      <w:r>
        <w:t>969</w:t>
      </w:r>
      <w:r w:rsidRPr="00D93D82">
        <w:t xml:space="preserve">  скарг</w:t>
      </w:r>
      <w:r>
        <w:t xml:space="preserve">. </w:t>
      </w:r>
      <w:r w:rsidRPr="00D93D82">
        <w:t xml:space="preserve"> </w:t>
      </w:r>
      <w:r>
        <w:t>У 2017 році – 1738 скарг,  2016 рік – 1655 скарг, 2015 року – 1527 скарг, 2014 рік –  1279 скарг, 2013 рік – 1073</w:t>
      </w:r>
      <w:r w:rsidRPr="00ED04E8">
        <w:t xml:space="preserve"> скарг</w:t>
      </w:r>
      <w:r>
        <w:t xml:space="preserve">и. </w:t>
      </w:r>
    </w:p>
    <w:p w:rsidR="00E65B41" w:rsidRDefault="00E65B41" w:rsidP="00E65B41">
      <w:pPr>
        <w:pStyle w:val="a5"/>
        <w:ind w:firstLine="708"/>
      </w:pPr>
    </w:p>
    <w:p w:rsidR="00E65B41" w:rsidRPr="00ED04E8" w:rsidRDefault="00E65B41" w:rsidP="00E65B41">
      <w:pPr>
        <w:pStyle w:val="a5"/>
        <w:ind w:firstLine="708"/>
      </w:pPr>
      <w:r>
        <w:t xml:space="preserve">35463  </w:t>
      </w:r>
      <w:r w:rsidRPr="00ED04E8">
        <w:t xml:space="preserve"> клопотан</w:t>
      </w:r>
      <w:r>
        <w:t>ня</w:t>
      </w:r>
      <w:r w:rsidRPr="00ED04E8">
        <w:t xml:space="preserve"> розглянуто слідчими суддями у звітному періоді, у т.ч. задоволено </w:t>
      </w:r>
      <w:r>
        <w:t>32187  клопотан</w:t>
      </w:r>
      <w:r w:rsidR="0007407D">
        <w:t>ь</w:t>
      </w:r>
      <w:r>
        <w:t xml:space="preserve">  (90,76%)</w:t>
      </w:r>
      <w:r w:rsidRPr="00ED04E8">
        <w:t xml:space="preserve">. Розглянуто </w:t>
      </w:r>
      <w:r>
        <w:t xml:space="preserve">місцевими загальними </w:t>
      </w:r>
      <w:r w:rsidRPr="00ED04E8">
        <w:t>судами</w:t>
      </w:r>
      <w:r>
        <w:t xml:space="preserve"> Вінницької області 1984 </w:t>
      </w:r>
      <w:r w:rsidRPr="00ED04E8">
        <w:t>скарг</w:t>
      </w:r>
      <w:r>
        <w:t>и</w:t>
      </w:r>
      <w:r w:rsidRPr="00ED04E8">
        <w:t xml:space="preserve"> на дії, рішення чи бездіяльність слідчого, прокурора та інших осіб під час досудового розслідування, у т. ч.  задоволено </w:t>
      </w:r>
      <w:r>
        <w:t xml:space="preserve">1059  </w:t>
      </w:r>
      <w:r w:rsidRPr="00ED04E8">
        <w:t xml:space="preserve"> скарг, що становить</w:t>
      </w:r>
      <w:r>
        <w:t xml:space="preserve"> 53,38%,  у 2018 році  51,25%, у 2017 році 50,83 %, 2016 році 45,94, в 2015 році – 47,63%, у 2014 році – 41,89% задоволених скарг. </w:t>
      </w:r>
    </w:p>
    <w:p w:rsidR="00E65B41" w:rsidRPr="00ED04E8" w:rsidRDefault="00E65B41" w:rsidP="00E65B41">
      <w:pPr>
        <w:pStyle w:val="a5"/>
      </w:pPr>
      <w:r w:rsidRPr="00ED04E8">
        <w:tab/>
      </w:r>
    </w:p>
    <w:p w:rsidR="00E65B41" w:rsidRDefault="00E65B41" w:rsidP="00E65B41">
      <w:pPr>
        <w:pStyle w:val="a5"/>
        <w:ind w:firstLine="708"/>
      </w:pPr>
      <w:r>
        <w:t>Н</w:t>
      </w:r>
      <w:r w:rsidRPr="00ED04E8">
        <w:t>айбільша кількість клопотань</w:t>
      </w:r>
      <w:r>
        <w:t>,</w:t>
      </w:r>
      <w:r w:rsidRPr="00ED04E8">
        <w:t xml:space="preserve"> що надійшли у звітному період</w:t>
      </w:r>
      <w:r>
        <w:t>і</w:t>
      </w:r>
      <w:r w:rsidRPr="00ED04E8">
        <w:t xml:space="preserve"> до місцевих загальних судів області</w:t>
      </w:r>
      <w:r>
        <w:t>,</w:t>
      </w:r>
      <w:r w:rsidRPr="00ED04E8">
        <w:t xml:space="preserve"> це клопотання: про </w:t>
      </w:r>
      <w:r>
        <w:t xml:space="preserve">проведення експертизи – </w:t>
      </w:r>
    </w:p>
    <w:p w:rsidR="00E65B41" w:rsidRPr="00ED04E8" w:rsidRDefault="00E65B41" w:rsidP="00E65B41">
      <w:pPr>
        <w:pStyle w:val="a5"/>
      </w:pPr>
      <w:r>
        <w:t xml:space="preserve">11886 (33,57%), </w:t>
      </w:r>
      <w:r w:rsidRPr="00ED04E8">
        <w:t>тимчасовий доступ до речей та документів –</w:t>
      </w:r>
      <w:r>
        <w:t xml:space="preserve"> 9608 (27,14</w:t>
      </w:r>
      <w:r w:rsidRPr="00ED04E8">
        <w:t xml:space="preserve">%), </w:t>
      </w:r>
      <w:r>
        <w:t xml:space="preserve">  </w:t>
      </w:r>
      <w:r w:rsidRPr="00ED04E8">
        <w:t xml:space="preserve"> </w:t>
      </w:r>
      <w:r>
        <w:t xml:space="preserve">арешт майна – 4945 (13,97%). </w:t>
      </w:r>
    </w:p>
    <w:p w:rsidR="00E65B41" w:rsidRPr="00ED04E8" w:rsidRDefault="00E65B41" w:rsidP="00E65B41">
      <w:pPr>
        <w:pStyle w:val="a5"/>
        <w:ind w:firstLine="708"/>
      </w:pPr>
    </w:p>
    <w:p w:rsidR="00E65B41" w:rsidRPr="00ED04E8" w:rsidRDefault="00E65B41" w:rsidP="00E65B41">
      <w:pPr>
        <w:pStyle w:val="a5"/>
        <w:ind w:firstLine="708"/>
      </w:pPr>
      <w:r w:rsidRPr="00ED04E8">
        <w:t>Із</w:t>
      </w:r>
      <w:r>
        <w:t xml:space="preserve"> 1245</w:t>
      </w:r>
      <w:r w:rsidRPr="00ED04E8">
        <w:t xml:space="preserve"> </w:t>
      </w:r>
      <w:r w:rsidRPr="0007407D">
        <w:t>клопотань щодо застосування запобіжних заходів</w:t>
      </w:r>
      <w:r w:rsidRPr="00ED04E8">
        <w:t>: в</w:t>
      </w:r>
      <w:r>
        <w:t xml:space="preserve"> 47 </w:t>
      </w:r>
      <w:r w:rsidRPr="00ED04E8">
        <w:t>вирішувалось питання про застосування запобіжного заходу у вигляді особистого зобов’язання</w:t>
      </w:r>
      <w:r>
        <w:t xml:space="preserve"> (показник зменшився на 40,51% порівняно із аналогічним показником 2018 року – 79</w:t>
      </w:r>
      <w:r w:rsidRPr="00ED04E8">
        <w:t xml:space="preserve"> </w:t>
      </w:r>
      <w:r>
        <w:t xml:space="preserve"> клопотань)</w:t>
      </w:r>
      <w:r w:rsidRPr="00ED04E8">
        <w:t xml:space="preserve">; тримання під вартою – </w:t>
      </w:r>
      <w:r>
        <w:t xml:space="preserve">974, </w:t>
      </w:r>
      <w:r w:rsidRPr="00ED04E8">
        <w:t xml:space="preserve">домашній арешт – </w:t>
      </w:r>
      <w:r>
        <w:t>220</w:t>
      </w:r>
      <w:r w:rsidRPr="00ED04E8">
        <w:t xml:space="preserve">, </w:t>
      </w:r>
      <w:r>
        <w:t>3</w:t>
      </w:r>
      <w:r w:rsidRPr="00ED04E8">
        <w:t xml:space="preserve"> –</w:t>
      </w:r>
      <w:r>
        <w:t xml:space="preserve"> </w:t>
      </w:r>
      <w:r w:rsidRPr="00ED04E8">
        <w:t>застава</w:t>
      </w:r>
      <w:r>
        <w:t>, 1 – особиста порука</w:t>
      </w:r>
      <w:r w:rsidRPr="00ED04E8">
        <w:t xml:space="preserve">. Із перерахованих клопотань </w:t>
      </w:r>
      <w:r>
        <w:t xml:space="preserve">834 (66,9 %) </w:t>
      </w:r>
      <w:r w:rsidRPr="00ED04E8">
        <w:t>б</w:t>
      </w:r>
      <w:r>
        <w:t>уло задоволено слідчими суддями, що на 3,37% менше ніж  у 2018 році.</w:t>
      </w:r>
    </w:p>
    <w:p w:rsidR="00E65B41" w:rsidRPr="00ED04E8" w:rsidRDefault="00E65B41" w:rsidP="00E65B41">
      <w:pPr>
        <w:pStyle w:val="a5"/>
      </w:pPr>
      <w:r w:rsidRPr="00ED04E8">
        <w:tab/>
        <w:t xml:space="preserve"> </w:t>
      </w:r>
    </w:p>
    <w:p w:rsidR="00E65B41" w:rsidRPr="00ED04E8" w:rsidRDefault="00E65B41" w:rsidP="00E65B41">
      <w:pPr>
        <w:pStyle w:val="a5"/>
        <w:ind w:firstLine="708"/>
      </w:pPr>
      <w:r w:rsidRPr="0007407D">
        <w:lastRenderedPageBreak/>
        <w:t>За поданнями та клопотаннями в порядку виконання судового рішення</w:t>
      </w:r>
      <w:r w:rsidRPr="00ED04E8">
        <w:t xml:space="preserve"> в провадженні судів знаходил</w:t>
      </w:r>
      <w:r>
        <w:t>ись  3714   матеріалів, на 5, 4% менше ніж у 2018 році – 3928 матеріалів. У 2017 році – 4858</w:t>
      </w:r>
      <w:r w:rsidRPr="00ED04E8">
        <w:t xml:space="preserve"> матеріал</w:t>
      </w:r>
      <w:r>
        <w:t xml:space="preserve">ів, що вказує </w:t>
      </w:r>
      <w:r w:rsidR="0007407D">
        <w:t>н</w:t>
      </w:r>
      <w:r>
        <w:t>а тенденцію зменшення надходження даного виду справ.  3432</w:t>
      </w:r>
      <w:r w:rsidRPr="00ED04E8">
        <w:t xml:space="preserve"> клопотан</w:t>
      </w:r>
      <w:r>
        <w:t>ня</w:t>
      </w:r>
      <w:r w:rsidRPr="00ED04E8">
        <w:t xml:space="preserve"> розглянуто у звітному періоді, у т. ч. задоволено </w:t>
      </w:r>
      <w:r>
        <w:t>2332</w:t>
      </w:r>
      <w:r w:rsidRPr="00ED04E8">
        <w:t>,</w:t>
      </w:r>
      <w:r>
        <w:t xml:space="preserve"> </w:t>
      </w:r>
      <w:r w:rsidRPr="00ED04E8">
        <w:t xml:space="preserve"> що становить </w:t>
      </w:r>
      <w:r>
        <w:t>67,95</w:t>
      </w:r>
      <w:r w:rsidRPr="00ED04E8">
        <w:t>% усіх розглянутих судами подань та клопотань.</w:t>
      </w:r>
    </w:p>
    <w:p w:rsidR="00E65B41" w:rsidRPr="00ED04E8" w:rsidRDefault="00E65B41" w:rsidP="00E65B41">
      <w:pPr>
        <w:pStyle w:val="a5"/>
      </w:pPr>
      <w:r w:rsidRPr="00ED04E8">
        <w:tab/>
        <w:t>Подання та клопотання в порядку виконання судових рішень у кримінальних справах, що знаходилися в провадженні місцевих судів, здебільшого стосу</w:t>
      </w:r>
      <w:r>
        <w:t>вались</w:t>
      </w:r>
      <w:r w:rsidRPr="00ED04E8">
        <w:t xml:space="preserve">: </w:t>
      </w:r>
      <w:r>
        <w:t xml:space="preserve">інші клопотання (подання), куди найчастіше відносяться питання, щодо зарахування судом строку попереднього ув’язнення у разі засудження до позбавлення волі в межах того самого кримінального провадження, у межах якого до особи було застосовано попереднє ув’язнення, з розрахунку один день попереднього ув’язнення за один день позбавлення волі  (ч. 5 ст. 72 КК України) – 575 (15,48%),  </w:t>
      </w:r>
      <w:r w:rsidRPr="00B604FD">
        <w:t>про звільнення від призначеного покарання з випробовуванням після закінчення іспитового строку</w:t>
      </w:r>
      <w:r w:rsidRPr="00ED04E8">
        <w:t xml:space="preserve"> – </w:t>
      </w:r>
      <w:r w:rsidRPr="00BC1B29">
        <w:t>1</w:t>
      </w:r>
      <w:r>
        <w:t>070 (28,81</w:t>
      </w:r>
      <w:r w:rsidRPr="00ED04E8">
        <w:t xml:space="preserve">%), про встановлення або припинення адміністративного нагляду – </w:t>
      </w:r>
      <w:r>
        <w:t xml:space="preserve">559 </w:t>
      </w:r>
      <w:r w:rsidRPr="00ED04E8">
        <w:t>(</w:t>
      </w:r>
      <w:r>
        <w:t>15,05</w:t>
      </w:r>
      <w:r w:rsidRPr="00ED04E8">
        <w:t xml:space="preserve">%); умовно-дострокове звільнення від відбування покарання – </w:t>
      </w:r>
      <w:r>
        <w:t>488</w:t>
      </w:r>
      <w:r w:rsidRPr="00ED04E8">
        <w:t xml:space="preserve"> (</w:t>
      </w:r>
      <w:r>
        <w:t>13,14</w:t>
      </w:r>
      <w:r w:rsidRPr="00ED04E8">
        <w:t>%).</w:t>
      </w:r>
    </w:p>
    <w:p w:rsidR="00E65B41" w:rsidRPr="00ED04E8" w:rsidRDefault="00E65B41" w:rsidP="00E65B41">
      <w:pPr>
        <w:jc w:val="both"/>
      </w:pPr>
    </w:p>
    <w:p w:rsidR="00E65B41" w:rsidRPr="00ED04E8" w:rsidRDefault="00E65B41" w:rsidP="00E65B41">
      <w:pPr>
        <w:ind w:firstLine="708"/>
        <w:jc w:val="both"/>
      </w:pPr>
      <w:r w:rsidRPr="00341AB0">
        <w:rPr>
          <w:b/>
        </w:rPr>
        <w:t>За вироками місцевих загальних судів, що набрали законної сили у звітному періоді, засуджено</w:t>
      </w:r>
      <w:r w:rsidRPr="00ED04E8">
        <w:t xml:space="preserve"> </w:t>
      </w:r>
      <w:r>
        <w:t>2785</w:t>
      </w:r>
      <w:r w:rsidRPr="00ED04E8">
        <w:t xml:space="preserve"> ос</w:t>
      </w:r>
      <w:r>
        <w:t>іб</w:t>
      </w:r>
      <w:r w:rsidRPr="00ED04E8">
        <w:t xml:space="preserve">. Звільнено від відбування покарання з випробуванням </w:t>
      </w:r>
      <w:r>
        <w:t xml:space="preserve">959 </w:t>
      </w:r>
      <w:r w:rsidRPr="00ED04E8">
        <w:t>ос</w:t>
      </w:r>
      <w:r>
        <w:t>іб</w:t>
      </w:r>
      <w:r w:rsidRPr="00ED04E8">
        <w:t xml:space="preserve">, що становить </w:t>
      </w:r>
      <w:r>
        <w:t>34,43</w:t>
      </w:r>
      <w:r w:rsidRPr="00ED04E8">
        <w:t xml:space="preserve">% від числа усіх засуджених. </w:t>
      </w:r>
    </w:p>
    <w:p w:rsidR="00E65B41" w:rsidRDefault="00E65B41" w:rsidP="00E65B41">
      <w:pPr>
        <w:ind w:firstLine="708"/>
        <w:jc w:val="both"/>
      </w:pPr>
      <w:r w:rsidRPr="00ED04E8">
        <w:t>За тяжкістю скоєних злочинів, за якими було засуджено осіб, вироки відносно яких набрали законної сили у звітному періоді, класифікуються наступним чином:</w:t>
      </w:r>
      <w:r>
        <w:t xml:space="preserve"> </w:t>
      </w:r>
    </w:p>
    <w:p w:rsidR="00E65B41" w:rsidRDefault="00E65B41" w:rsidP="00E65B41">
      <w:pPr>
        <w:ind w:firstLine="708"/>
        <w:jc w:val="both"/>
      </w:pPr>
    </w:p>
    <w:p w:rsidR="00E65B41" w:rsidRDefault="00856422" w:rsidP="00E65B41">
      <w:pPr>
        <w:ind w:firstLine="708"/>
        <w:jc w:val="both"/>
      </w:pPr>
      <w:r>
        <w:rPr>
          <w:noProof/>
          <w:lang w:val="ru-RU"/>
        </w:rPr>
        <w:drawing>
          <wp:inline distT="0" distB="0" distL="0" distR="0">
            <wp:extent cx="5138420" cy="3528060"/>
            <wp:effectExtent l="0" t="0" r="24130" b="1524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5B41" w:rsidRDefault="00E65B41" w:rsidP="00505BA7">
      <w:pPr>
        <w:jc w:val="both"/>
      </w:pPr>
    </w:p>
    <w:p w:rsidR="00E65B41" w:rsidRDefault="00E65B41" w:rsidP="00E65B41">
      <w:pPr>
        <w:ind w:firstLine="708"/>
        <w:jc w:val="both"/>
      </w:pPr>
      <w:r w:rsidRPr="00ED04E8">
        <w:lastRenderedPageBreak/>
        <w:t xml:space="preserve">До позбавлення волі на певний строк засуджено </w:t>
      </w:r>
      <w:r>
        <w:t>640 осіб</w:t>
      </w:r>
      <w:r w:rsidRPr="00ED04E8">
        <w:t xml:space="preserve"> (</w:t>
      </w:r>
      <w:r>
        <w:t>22,98</w:t>
      </w:r>
      <w:r w:rsidRPr="00ED04E8">
        <w:t xml:space="preserve">%), </w:t>
      </w:r>
      <w:r>
        <w:t xml:space="preserve">громадські роботи </w:t>
      </w:r>
      <w:r w:rsidRPr="00ED04E8">
        <w:t xml:space="preserve">застосовано до </w:t>
      </w:r>
      <w:r>
        <w:t xml:space="preserve">180 </w:t>
      </w:r>
      <w:r w:rsidRPr="00ED04E8">
        <w:t>ос</w:t>
      </w:r>
      <w:r>
        <w:t>і</w:t>
      </w:r>
      <w:r w:rsidRPr="00ED04E8">
        <w:t>б</w:t>
      </w:r>
      <w:r>
        <w:t xml:space="preserve"> </w:t>
      </w:r>
      <w:r w:rsidRPr="00ED04E8">
        <w:t xml:space="preserve"> (</w:t>
      </w:r>
      <w:r>
        <w:t>6,46</w:t>
      </w:r>
      <w:r w:rsidRPr="00ED04E8">
        <w:t>%), із призначенням покарання у вигляді штрафу засуджено</w:t>
      </w:r>
      <w:r>
        <w:t xml:space="preserve"> 771</w:t>
      </w:r>
      <w:r w:rsidRPr="00ED04E8">
        <w:t xml:space="preserve"> ос</w:t>
      </w:r>
      <w:r>
        <w:t>о</w:t>
      </w:r>
      <w:r w:rsidRPr="00ED04E8">
        <w:t>б</w:t>
      </w:r>
      <w:r>
        <w:t>у</w:t>
      </w:r>
      <w:r w:rsidRPr="00ED04E8">
        <w:t xml:space="preserve"> (</w:t>
      </w:r>
      <w:r>
        <w:t>27,68</w:t>
      </w:r>
      <w:r w:rsidRPr="00ED04E8">
        <w:t>%)</w:t>
      </w:r>
      <w:r>
        <w:t>, арешт - 116 осіб (4,17%)</w:t>
      </w:r>
      <w:r w:rsidRPr="00ED04E8">
        <w:t xml:space="preserve">. </w:t>
      </w:r>
    </w:p>
    <w:p w:rsidR="00E65B41" w:rsidRDefault="00E65B41" w:rsidP="00E65B41">
      <w:pPr>
        <w:jc w:val="both"/>
      </w:pPr>
    </w:p>
    <w:p w:rsidR="00E65B41" w:rsidRDefault="00E65B41" w:rsidP="00E65B41">
      <w:pPr>
        <w:ind w:firstLine="708"/>
        <w:jc w:val="both"/>
      </w:pPr>
      <w:r w:rsidRPr="00ED04E8">
        <w:t xml:space="preserve">Призначені загальними судами </w:t>
      </w:r>
      <w:r w:rsidRPr="00341AB0">
        <w:rPr>
          <w:b/>
        </w:rPr>
        <w:t>міри покарання</w:t>
      </w:r>
      <w:r w:rsidRPr="00ED04E8">
        <w:t xml:space="preserve"> наведені </w:t>
      </w:r>
      <w:r>
        <w:t>у</w:t>
      </w:r>
      <w:r w:rsidRPr="00ED04E8">
        <w:t xml:space="preserve"> діаграмі:</w:t>
      </w:r>
      <w:r>
        <w:br/>
      </w:r>
    </w:p>
    <w:p w:rsidR="00E65B41" w:rsidRDefault="00E65B41" w:rsidP="00E65B41">
      <w:pPr>
        <w:ind w:firstLine="708"/>
        <w:jc w:val="center"/>
        <w:rPr>
          <w:b/>
        </w:rPr>
      </w:pPr>
      <w:r>
        <w:rPr>
          <w:b/>
        </w:rPr>
        <w:t>Основні міри покарання у 2019 році</w:t>
      </w:r>
    </w:p>
    <w:p w:rsidR="00E65B41" w:rsidRPr="00764715" w:rsidRDefault="00856422" w:rsidP="00E65B41">
      <w:pPr>
        <w:ind w:firstLine="708"/>
        <w:jc w:val="center"/>
        <w:rPr>
          <w:b/>
        </w:rPr>
      </w:pPr>
      <w:r>
        <w:rPr>
          <w:noProof/>
          <w:lang w:val="ru-RU"/>
        </w:rPr>
        <w:drawing>
          <wp:inline distT="0" distB="0" distL="0" distR="0">
            <wp:extent cx="6153150" cy="4038600"/>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5B41" w:rsidRPr="00C917D3" w:rsidRDefault="00E65B41" w:rsidP="00E65B41">
      <w:pPr>
        <w:jc w:val="center"/>
        <w:rPr>
          <w:b/>
          <w:sz w:val="32"/>
          <w:szCs w:val="32"/>
        </w:rPr>
      </w:pPr>
    </w:p>
    <w:p w:rsidR="00E65B41" w:rsidRDefault="00E65B41" w:rsidP="00E65B41">
      <w:pPr>
        <w:ind w:firstLine="708"/>
        <w:jc w:val="both"/>
      </w:pPr>
    </w:p>
    <w:p w:rsidR="00E65B41" w:rsidRPr="00ED04E8" w:rsidRDefault="00E65B41" w:rsidP="00E65B41">
      <w:pPr>
        <w:ind w:firstLine="708"/>
        <w:jc w:val="both"/>
      </w:pPr>
      <w:r w:rsidRPr="00ED04E8">
        <w:t xml:space="preserve">Із загальної кількості засуджених осіб, яких звільнено від покарання з випробуванням, відсоток засуджених за скоєння тяжких злочинів і злочинів середньої тяжкості становить </w:t>
      </w:r>
      <w:r>
        <w:t>47,65</w:t>
      </w:r>
      <w:r w:rsidRPr="00ED04E8">
        <w:t xml:space="preserve">%  та  </w:t>
      </w:r>
      <w:r>
        <w:t>46,19</w:t>
      </w:r>
      <w:r w:rsidRPr="00ED04E8">
        <w:t xml:space="preserve">%  відповідно. </w:t>
      </w:r>
    </w:p>
    <w:p w:rsidR="00E65B41" w:rsidRPr="00ED04E8" w:rsidRDefault="00E65B41" w:rsidP="00E65B41">
      <w:pPr>
        <w:ind w:firstLine="708"/>
        <w:jc w:val="both"/>
      </w:pPr>
    </w:p>
    <w:p w:rsidR="00E65B41" w:rsidRPr="00ED04E8" w:rsidRDefault="00E65B41" w:rsidP="00E65B41">
      <w:pPr>
        <w:ind w:firstLine="708"/>
        <w:jc w:val="both"/>
      </w:pPr>
      <w:r w:rsidRPr="00ED04E8">
        <w:t xml:space="preserve">Із числа засуджених до позбавлення волі, за скоєння особливо тяжких злочинів засуджено </w:t>
      </w:r>
      <w:r>
        <w:t xml:space="preserve">56 </w:t>
      </w:r>
      <w:r w:rsidRPr="00ED04E8">
        <w:t>(</w:t>
      </w:r>
      <w:r>
        <w:t>8,74</w:t>
      </w:r>
      <w:r w:rsidRPr="00ED04E8">
        <w:t>%)</w:t>
      </w:r>
      <w:r>
        <w:t xml:space="preserve"> осі</w:t>
      </w:r>
      <w:r w:rsidRPr="00ED04E8">
        <w:t xml:space="preserve">б, за тяжкі злочини – </w:t>
      </w:r>
      <w:r>
        <w:t>380</w:t>
      </w:r>
      <w:r w:rsidRPr="00ED04E8">
        <w:t xml:space="preserve"> (</w:t>
      </w:r>
      <w:r>
        <w:t>59,28</w:t>
      </w:r>
      <w:r w:rsidRPr="00ED04E8">
        <w:t>%)</w:t>
      </w:r>
      <w:r>
        <w:t xml:space="preserve"> осіб</w:t>
      </w:r>
      <w:r w:rsidRPr="00ED04E8">
        <w:t xml:space="preserve">, за злочини середньої тяжкості – </w:t>
      </w:r>
      <w:r>
        <w:t>185</w:t>
      </w:r>
      <w:r w:rsidRPr="00ED04E8">
        <w:t xml:space="preserve"> (</w:t>
      </w:r>
      <w:r>
        <w:t>28,86</w:t>
      </w:r>
      <w:r w:rsidRPr="00ED04E8">
        <w:t>%)</w:t>
      </w:r>
      <w:r>
        <w:t xml:space="preserve"> осіб</w:t>
      </w:r>
      <w:r w:rsidRPr="00ED04E8">
        <w:t>.</w:t>
      </w:r>
    </w:p>
    <w:p w:rsidR="00E65B41" w:rsidRDefault="00E65B41" w:rsidP="00E65B41">
      <w:pPr>
        <w:jc w:val="both"/>
      </w:pPr>
      <w:r w:rsidRPr="00ED04E8">
        <w:tab/>
        <w:t xml:space="preserve">Питома вага неповнолітніх засуджених </w:t>
      </w:r>
      <w:r>
        <w:t>у</w:t>
      </w:r>
      <w:r w:rsidRPr="00ED04E8">
        <w:t xml:space="preserve"> загальній кількості засуджених становить </w:t>
      </w:r>
      <w:r>
        <w:t>5</w:t>
      </w:r>
      <w:r w:rsidRPr="00ED04E8">
        <w:t>,</w:t>
      </w:r>
      <w:r>
        <w:t>28</w:t>
      </w:r>
      <w:r w:rsidRPr="00ED04E8">
        <w:t>%.</w:t>
      </w:r>
      <w:r w:rsidRPr="00ED04E8">
        <w:tab/>
      </w:r>
    </w:p>
    <w:p w:rsidR="00E65B41" w:rsidRDefault="00856422" w:rsidP="00E65B41">
      <w:pPr>
        <w:jc w:val="both"/>
      </w:pPr>
      <w:r>
        <w:rPr>
          <w:noProof/>
          <w:lang w:val="ru-RU"/>
        </w:rPr>
        <w:lastRenderedPageBreak/>
        <w:drawing>
          <wp:inline distT="0" distB="0" distL="0" distR="0">
            <wp:extent cx="5274310" cy="3531870"/>
            <wp:effectExtent l="0" t="0" r="2540" b="0"/>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5B41" w:rsidRDefault="00E65B41" w:rsidP="00E65B41">
      <w:pPr>
        <w:jc w:val="both"/>
        <w:rPr>
          <w:noProof/>
          <w:lang w:val="ru-RU"/>
        </w:rPr>
      </w:pPr>
    </w:p>
    <w:p w:rsidR="00E65B41" w:rsidRDefault="00E65B41" w:rsidP="00E65B41">
      <w:pPr>
        <w:ind w:firstLine="708"/>
        <w:jc w:val="both"/>
        <w:rPr>
          <w:noProof/>
          <w:lang w:val="ru-RU"/>
        </w:rPr>
      </w:pPr>
    </w:p>
    <w:p w:rsidR="00E65B41" w:rsidRDefault="00E65B41" w:rsidP="00E65B41">
      <w:pPr>
        <w:ind w:firstLine="708"/>
        <w:jc w:val="both"/>
        <w:rPr>
          <w:noProof/>
          <w:lang w:val="ru-RU"/>
        </w:rPr>
      </w:pPr>
    </w:p>
    <w:p w:rsidR="00E65B41" w:rsidRDefault="00E65B41" w:rsidP="00E65B41">
      <w:pPr>
        <w:ind w:left="-284" w:right="-165"/>
        <w:jc w:val="both"/>
        <w:rPr>
          <w:b/>
        </w:rPr>
      </w:pPr>
    </w:p>
    <w:p w:rsidR="00E65B41" w:rsidRPr="00ED04E8" w:rsidRDefault="00856422" w:rsidP="00E65B41">
      <w:pPr>
        <w:jc w:val="both"/>
        <w:rPr>
          <w:b/>
        </w:rPr>
      </w:pPr>
      <w:r>
        <w:rPr>
          <w:noProof/>
          <w:lang w:val="ru-RU"/>
        </w:rPr>
        <w:drawing>
          <wp:inline distT="0" distB="0" distL="0" distR="0">
            <wp:extent cx="6153150" cy="4514850"/>
            <wp:effectExtent l="0" t="0" r="0" b="0"/>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5B41" w:rsidRPr="00ED04E8" w:rsidRDefault="00E65B41" w:rsidP="00E65B41">
      <w:pPr>
        <w:pStyle w:val="a5"/>
      </w:pPr>
      <w:r w:rsidRPr="00ED04E8">
        <w:rPr>
          <w:b/>
        </w:rPr>
        <w:lastRenderedPageBreak/>
        <w:tab/>
      </w:r>
      <w:r w:rsidRPr="008544D2">
        <w:t>Н</w:t>
      </w:r>
      <w:r w:rsidRPr="00ED04E8">
        <w:t>аведен</w:t>
      </w:r>
      <w:r>
        <w:t>а</w:t>
      </w:r>
      <w:r w:rsidRPr="00ED04E8">
        <w:t xml:space="preserve"> діаграм</w:t>
      </w:r>
      <w:r>
        <w:t>а свідчить</w:t>
      </w:r>
      <w:r w:rsidRPr="00ED04E8">
        <w:t>,</w:t>
      </w:r>
      <w:r>
        <w:t xml:space="preserve"> що</w:t>
      </w:r>
      <w:r w:rsidRPr="00ED04E8">
        <w:t xml:space="preserve"> як і раніше, засуджені на час вчинення злочину, в переважній більшості, були працездатними особами, які не працювали і не навчалися.</w:t>
      </w:r>
    </w:p>
    <w:p w:rsidR="00E65B41" w:rsidRPr="00ED04E8" w:rsidRDefault="00E65B41" w:rsidP="00E65B41">
      <w:pPr>
        <w:pStyle w:val="a5"/>
      </w:pPr>
    </w:p>
    <w:p w:rsidR="00E65B41" w:rsidRDefault="00E65B41" w:rsidP="00E65B41">
      <w:pPr>
        <w:pStyle w:val="a5"/>
        <w:ind w:firstLine="720"/>
      </w:pPr>
      <w:r w:rsidRPr="00ED04E8">
        <w:t xml:space="preserve">За вироками місцевих загальних судів області, що набрали законної сили у звітному періоді, всього було засуджено </w:t>
      </w:r>
      <w:r>
        <w:t>147</w:t>
      </w:r>
      <w:r w:rsidRPr="00ED04E8">
        <w:t xml:space="preserve"> неповнолітніх ос</w:t>
      </w:r>
      <w:r>
        <w:t>іб</w:t>
      </w:r>
      <w:r w:rsidRPr="00ED04E8">
        <w:t xml:space="preserve">: за злочини проти життя і здоров’я – </w:t>
      </w:r>
      <w:r>
        <w:t xml:space="preserve">7 </w:t>
      </w:r>
      <w:r w:rsidRPr="00ED04E8">
        <w:t xml:space="preserve">осіб, проти власності – </w:t>
      </w:r>
      <w:r>
        <w:t>113</w:t>
      </w:r>
      <w:r w:rsidRPr="00ED04E8">
        <w:t xml:space="preserve"> ос</w:t>
      </w:r>
      <w:r>
        <w:t>іб</w:t>
      </w:r>
      <w:r w:rsidRPr="00ED04E8">
        <w:t xml:space="preserve">, </w:t>
      </w:r>
      <w:r w:rsidRPr="00646EE0">
        <w:t>злочини у сфері обігу наркотичних засобів, психотропних речовин, їх аналогів або прекурсорів</w:t>
      </w:r>
      <w:r w:rsidRPr="00ED04E8">
        <w:t xml:space="preserve"> – </w:t>
      </w:r>
      <w:r>
        <w:t>4</w:t>
      </w:r>
      <w:r w:rsidRPr="00ED04E8">
        <w:t xml:space="preserve"> ос</w:t>
      </w:r>
      <w:r>
        <w:t>о</w:t>
      </w:r>
      <w:r w:rsidRPr="00ED04E8">
        <w:t>б</w:t>
      </w:r>
      <w:r>
        <w:t>и</w:t>
      </w:r>
      <w:r w:rsidRPr="00ED04E8">
        <w:t xml:space="preserve">, </w:t>
      </w:r>
      <w:r>
        <w:t>х</w:t>
      </w:r>
      <w:r w:rsidRPr="00646EE0">
        <w:t>уліганство</w:t>
      </w:r>
      <w:r>
        <w:t xml:space="preserve"> – 1 особа, н</w:t>
      </w:r>
      <w:r w:rsidRPr="00EF2B5E">
        <w:t>езаконне заволодіння транспортним засобом</w:t>
      </w:r>
      <w:r>
        <w:t xml:space="preserve"> – 12</w:t>
      </w:r>
      <w:r w:rsidRPr="00ED04E8">
        <w:t xml:space="preserve"> осіб</w:t>
      </w:r>
      <w:r>
        <w:t xml:space="preserve">, інші злочини – 10 осіб. </w:t>
      </w:r>
    </w:p>
    <w:p w:rsidR="00E65B41" w:rsidRPr="00ED04E8" w:rsidRDefault="00E65B41" w:rsidP="00E65B41">
      <w:pPr>
        <w:pStyle w:val="a5"/>
      </w:pPr>
    </w:p>
    <w:p w:rsidR="00E65B41" w:rsidRPr="00ED04E8" w:rsidRDefault="00E65B41" w:rsidP="00E65B41">
      <w:pPr>
        <w:pStyle w:val="a5"/>
      </w:pPr>
    </w:p>
    <w:p w:rsidR="00E65B41" w:rsidRDefault="00E65B41" w:rsidP="00E65B41">
      <w:pPr>
        <w:pStyle w:val="a5"/>
        <w:ind w:firstLine="720"/>
        <w:jc w:val="center"/>
        <w:rPr>
          <w:b/>
        </w:rPr>
      </w:pPr>
      <w:r w:rsidRPr="00ED04E8">
        <w:rPr>
          <w:b/>
        </w:rPr>
        <w:t>Категорії злочинів, вчинених неповнолітніми особами, засудженими у   201</w:t>
      </w:r>
      <w:r>
        <w:rPr>
          <w:b/>
        </w:rPr>
        <w:t>9</w:t>
      </w:r>
      <w:r w:rsidRPr="00ED04E8">
        <w:rPr>
          <w:b/>
        </w:rPr>
        <w:t xml:space="preserve"> ро</w:t>
      </w:r>
      <w:r>
        <w:rPr>
          <w:b/>
        </w:rPr>
        <w:t>ці</w:t>
      </w:r>
    </w:p>
    <w:p w:rsidR="00E65B41" w:rsidRPr="00ED04E8" w:rsidRDefault="00E65B41" w:rsidP="00E65B41">
      <w:pPr>
        <w:pStyle w:val="a5"/>
        <w:ind w:firstLine="720"/>
        <w:jc w:val="center"/>
        <w:rPr>
          <w:b/>
        </w:rPr>
      </w:pPr>
    </w:p>
    <w:p w:rsidR="00E65B41" w:rsidRPr="00223CB4" w:rsidRDefault="00E65B41" w:rsidP="00E65B41">
      <w:pPr>
        <w:pStyle w:val="a5"/>
      </w:pPr>
      <w:r>
        <w:rPr>
          <w:noProof/>
          <w:lang w:val="ru-RU"/>
        </w:rPr>
        <w:t xml:space="preserve">        </w:t>
      </w:r>
      <w:r w:rsidR="00856422">
        <w:rPr>
          <w:noProof/>
          <w:lang w:val="ru-RU"/>
        </w:rPr>
        <w:drawing>
          <wp:inline distT="0" distB="0" distL="0" distR="0">
            <wp:extent cx="5114925" cy="2179955"/>
            <wp:effectExtent l="0" t="0" r="0" b="29845"/>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5B41" w:rsidRDefault="00E65B41" w:rsidP="00E65B41">
      <w:pPr>
        <w:pStyle w:val="a5"/>
        <w:jc w:val="center"/>
        <w:rPr>
          <w:b/>
          <w:bCs/>
        </w:rPr>
      </w:pPr>
    </w:p>
    <w:p w:rsidR="00E65B41" w:rsidRDefault="00E65B41" w:rsidP="00E65B41">
      <w:pPr>
        <w:pStyle w:val="a5"/>
        <w:jc w:val="center"/>
        <w:rPr>
          <w:b/>
          <w:bCs/>
        </w:rPr>
      </w:pPr>
    </w:p>
    <w:p w:rsidR="00C91C65" w:rsidRDefault="00C91C65" w:rsidP="004F75CA">
      <w:pPr>
        <w:pStyle w:val="a5"/>
        <w:jc w:val="center"/>
        <w:rPr>
          <w:b/>
          <w:bCs/>
        </w:rPr>
      </w:pPr>
    </w:p>
    <w:p w:rsidR="00C91C65" w:rsidRDefault="00C91C65" w:rsidP="004F75CA">
      <w:pPr>
        <w:pStyle w:val="a5"/>
        <w:jc w:val="center"/>
        <w:rPr>
          <w:b/>
          <w:bCs/>
        </w:rPr>
      </w:pPr>
    </w:p>
    <w:p w:rsidR="00A23EDC" w:rsidRDefault="00A23EDC" w:rsidP="004F75CA">
      <w:pPr>
        <w:pStyle w:val="a5"/>
        <w:tabs>
          <w:tab w:val="left" w:pos="1000"/>
        </w:tabs>
      </w:pPr>
    </w:p>
    <w:p w:rsidR="00A23EDC" w:rsidRDefault="00A23EDC" w:rsidP="004F75CA">
      <w:pPr>
        <w:pStyle w:val="a5"/>
        <w:tabs>
          <w:tab w:val="left" w:pos="1000"/>
        </w:tabs>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Default="00505BA7" w:rsidP="00505BA7">
      <w:pPr>
        <w:pStyle w:val="a5"/>
        <w:jc w:val="center"/>
        <w:rPr>
          <w:b/>
          <w:bCs/>
        </w:rPr>
      </w:pPr>
    </w:p>
    <w:p w:rsidR="00505BA7" w:rsidRPr="00ED04E8" w:rsidRDefault="00505BA7" w:rsidP="00505BA7">
      <w:pPr>
        <w:pStyle w:val="a5"/>
        <w:jc w:val="center"/>
        <w:rPr>
          <w:b/>
          <w:bCs/>
        </w:rPr>
      </w:pPr>
      <w:r w:rsidRPr="00ED04E8">
        <w:rPr>
          <w:b/>
          <w:bCs/>
        </w:rPr>
        <w:lastRenderedPageBreak/>
        <w:t>РОЗГЛЯД СПРАВ</w:t>
      </w:r>
    </w:p>
    <w:p w:rsidR="00505BA7" w:rsidRPr="00ED04E8" w:rsidRDefault="00505BA7" w:rsidP="00505BA7">
      <w:pPr>
        <w:pStyle w:val="a5"/>
        <w:jc w:val="center"/>
        <w:rPr>
          <w:b/>
          <w:bCs/>
        </w:rPr>
      </w:pPr>
      <w:r w:rsidRPr="00ED04E8">
        <w:rPr>
          <w:b/>
          <w:bCs/>
        </w:rPr>
        <w:t>ПРО АДМІНІСТРАТИВНІ ПРАВОПОРУШЕННЯ</w:t>
      </w:r>
    </w:p>
    <w:p w:rsidR="00505BA7" w:rsidRPr="00ED04E8" w:rsidRDefault="00505BA7" w:rsidP="00505BA7">
      <w:pPr>
        <w:pStyle w:val="a5"/>
      </w:pPr>
    </w:p>
    <w:p w:rsidR="00505BA7" w:rsidRPr="00ED04E8" w:rsidRDefault="00505BA7" w:rsidP="00505BA7">
      <w:pPr>
        <w:pStyle w:val="a5"/>
      </w:pPr>
      <w:r w:rsidRPr="00ED04E8">
        <w:tab/>
        <w:t xml:space="preserve">Впродовж звітного періоду на розгляді місцевих загальних судів перебувало </w:t>
      </w:r>
      <w:r>
        <w:t>31353 справ</w:t>
      </w:r>
      <w:r w:rsidR="00374768">
        <w:t>и</w:t>
      </w:r>
      <w:r w:rsidRPr="00ED04E8">
        <w:t xml:space="preserve"> про адміністративні правопорушення. </w:t>
      </w:r>
    </w:p>
    <w:p w:rsidR="00505BA7" w:rsidRPr="00ED04E8" w:rsidRDefault="00505BA7" w:rsidP="00505BA7">
      <w:pPr>
        <w:pStyle w:val="a5"/>
        <w:ind w:firstLine="708"/>
      </w:pPr>
      <w:r w:rsidRPr="00ED04E8">
        <w:t xml:space="preserve">Для належного оформлення органам, що склали протоколи, повернуто </w:t>
      </w:r>
      <w:r>
        <w:t xml:space="preserve">4115 </w:t>
      </w:r>
      <w:r w:rsidRPr="00ED04E8">
        <w:t>протокол</w:t>
      </w:r>
      <w:r>
        <w:t>ів</w:t>
      </w:r>
      <w:r w:rsidRPr="00ED04E8">
        <w:t xml:space="preserve"> (201</w:t>
      </w:r>
      <w:r>
        <w:t>8 рік</w:t>
      </w:r>
      <w:r w:rsidRPr="00ED04E8">
        <w:t xml:space="preserve"> – </w:t>
      </w:r>
      <w:r w:rsidRPr="00F7427E">
        <w:t>4219</w:t>
      </w:r>
      <w:r>
        <w:t>), що становить 13,12% від у</w:t>
      </w:r>
      <w:r w:rsidRPr="005A2320">
        <w:t>сіх справ, що перебували на розгляді.</w:t>
      </w:r>
      <w:r w:rsidRPr="00ED04E8">
        <w:t xml:space="preserve"> </w:t>
      </w:r>
    </w:p>
    <w:p w:rsidR="00505BA7" w:rsidRPr="00ED04E8" w:rsidRDefault="00505BA7" w:rsidP="00505BA7">
      <w:pPr>
        <w:pStyle w:val="a5"/>
        <w:ind w:firstLine="708"/>
      </w:pPr>
      <w:r w:rsidRPr="00ED04E8">
        <w:t xml:space="preserve">У звітному періоді </w:t>
      </w:r>
      <w:r>
        <w:t>кількість осіб, щодо яких розглянуто справи становить 24550</w:t>
      </w:r>
      <w:r w:rsidR="00903356">
        <w:t>. З</w:t>
      </w:r>
      <w:r>
        <w:t>алишок нерозглянутих справ на кінець звітного періоду складає – 1567</w:t>
      </w:r>
      <w:r w:rsidR="00903356">
        <w:t xml:space="preserve"> справ</w:t>
      </w:r>
      <w:r w:rsidRPr="00ED04E8">
        <w:t xml:space="preserve">. </w:t>
      </w:r>
    </w:p>
    <w:p w:rsidR="00505BA7" w:rsidRDefault="00505BA7" w:rsidP="00505BA7">
      <w:pPr>
        <w:pStyle w:val="a5"/>
        <w:ind w:firstLine="708"/>
      </w:pPr>
      <w:r w:rsidRPr="00ED04E8">
        <w:t xml:space="preserve">Винесено постанов про накладення адміністративного стягнення стосовно </w:t>
      </w:r>
      <w:r>
        <w:t>16806 осіб (68,46% від числа розглянутих</w:t>
      </w:r>
      <w:r w:rsidR="00903356">
        <w:t xml:space="preserve"> справ</w:t>
      </w:r>
      <w:r>
        <w:t>),</w:t>
      </w:r>
      <w:r w:rsidRPr="00ED04E8">
        <w:t xml:space="preserve"> </w:t>
      </w:r>
      <w:r>
        <w:t xml:space="preserve">з них: </w:t>
      </w:r>
      <w:r w:rsidR="00903356">
        <w:t xml:space="preserve">щодо </w:t>
      </w:r>
      <w:r>
        <w:t>жінок – 2015</w:t>
      </w:r>
      <w:r w:rsidR="00903356">
        <w:t xml:space="preserve"> постанов</w:t>
      </w:r>
      <w:r>
        <w:t xml:space="preserve"> (11,99%), громадян іншої держави – 321</w:t>
      </w:r>
      <w:r w:rsidR="00903356">
        <w:t xml:space="preserve"> постанова</w:t>
      </w:r>
      <w:r>
        <w:t xml:space="preserve"> (1,91%). Рід зайняття осіб притягнутих до адміністративної відповідальності наведений у діаграмі:</w:t>
      </w:r>
    </w:p>
    <w:p w:rsidR="00505BA7" w:rsidRDefault="00505BA7" w:rsidP="00505BA7">
      <w:pPr>
        <w:pStyle w:val="a5"/>
        <w:ind w:firstLine="708"/>
      </w:pPr>
    </w:p>
    <w:p w:rsidR="00505BA7" w:rsidRDefault="00505BA7" w:rsidP="00505BA7">
      <w:pPr>
        <w:pStyle w:val="a5"/>
        <w:ind w:firstLine="708"/>
        <w:jc w:val="center"/>
        <w:rPr>
          <w:b/>
        </w:rPr>
      </w:pPr>
      <w:r w:rsidRPr="00B848BA">
        <w:rPr>
          <w:b/>
        </w:rPr>
        <w:t>Рід зайняття осіб притягнутих до адміністративної відповідальності</w:t>
      </w:r>
      <w:r>
        <w:rPr>
          <w:b/>
        </w:rPr>
        <w:t xml:space="preserve"> у 2019 році</w:t>
      </w:r>
    </w:p>
    <w:p w:rsidR="00505BA7" w:rsidRDefault="00505BA7" w:rsidP="00505BA7">
      <w:pPr>
        <w:pStyle w:val="a5"/>
        <w:ind w:firstLine="708"/>
        <w:rPr>
          <w:b/>
        </w:rPr>
      </w:pPr>
    </w:p>
    <w:p w:rsidR="00505BA7" w:rsidRDefault="00856422" w:rsidP="00505BA7">
      <w:pPr>
        <w:pStyle w:val="a5"/>
        <w:rPr>
          <w:noProof/>
          <w:lang w:eastAsia="uk-UA"/>
        </w:rPr>
      </w:pPr>
      <w:r>
        <w:rPr>
          <w:noProof/>
          <w:lang w:val="ru-RU"/>
        </w:rPr>
        <w:drawing>
          <wp:inline distT="0" distB="0" distL="0" distR="0">
            <wp:extent cx="6273165" cy="4044950"/>
            <wp:effectExtent l="0" t="0" r="13335" b="1270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5BA7" w:rsidRPr="00B848BA" w:rsidRDefault="00505BA7" w:rsidP="00505BA7">
      <w:pPr>
        <w:pStyle w:val="a5"/>
        <w:rPr>
          <w:b/>
        </w:rPr>
      </w:pPr>
    </w:p>
    <w:p w:rsidR="00505BA7" w:rsidRPr="00ED04E8" w:rsidRDefault="00505BA7" w:rsidP="00505BA7">
      <w:pPr>
        <w:pStyle w:val="a5"/>
        <w:ind w:firstLine="708"/>
      </w:pPr>
      <w:r w:rsidRPr="00ED04E8">
        <w:t xml:space="preserve">За своєю структурою види </w:t>
      </w:r>
      <w:r>
        <w:t xml:space="preserve">основних </w:t>
      </w:r>
      <w:r w:rsidRPr="00ED04E8">
        <w:t xml:space="preserve">стягнень розподіляються таким чином:  </w:t>
      </w:r>
    </w:p>
    <w:p w:rsidR="00505BA7" w:rsidRDefault="00505BA7" w:rsidP="00903356">
      <w:pPr>
        <w:pStyle w:val="a5"/>
      </w:pPr>
      <w:r w:rsidRPr="00027A66">
        <w:t xml:space="preserve">штрафи становлять </w:t>
      </w:r>
      <w:r>
        <w:t>85,04</w:t>
      </w:r>
      <w:r w:rsidRPr="00027A66">
        <w:t>% від загальної кількості призначених стягнень,</w:t>
      </w:r>
    </w:p>
    <w:p w:rsidR="00505BA7" w:rsidRPr="00027A66" w:rsidRDefault="00505BA7" w:rsidP="00903356">
      <w:pPr>
        <w:pStyle w:val="a5"/>
      </w:pPr>
      <w:r>
        <w:t>попередження</w:t>
      </w:r>
      <w:r w:rsidRPr="00027A66">
        <w:t xml:space="preserve"> </w:t>
      </w:r>
      <w:r>
        <w:t>- 3,43</w:t>
      </w:r>
      <w:r w:rsidRPr="005E6808">
        <w:t>%,</w:t>
      </w:r>
    </w:p>
    <w:p w:rsidR="00505BA7" w:rsidRDefault="00505BA7" w:rsidP="00903356">
      <w:pPr>
        <w:pStyle w:val="a5"/>
      </w:pPr>
      <w:r w:rsidRPr="00027A66">
        <w:t xml:space="preserve">громадські роботи – </w:t>
      </w:r>
      <w:r>
        <w:t>3,31%,</w:t>
      </w:r>
    </w:p>
    <w:p w:rsidR="00505BA7" w:rsidRPr="00027A66" w:rsidRDefault="00505BA7" w:rsidP="00903356">
      <w:pPr>
        <w:pStyle w:val="a5"/>
      </w:pPr>
      <w:r>
        <w:lastRenderedPageBreak/>
        <w:t>суспільно корисні роботи – 3,05%,</w:t>
      </w:r>
    </w:p>
    <w:p w:rsidR="00505BA7" w:rsidRDefault="00505BA7" w:rsidP="00903356">
      <w:pPr>
        <w:pStyle w:val="a5"/>
      </w:pPr>
      <w:r w:rsidRPr="00C57099">
        <w:t xml:space="preserve">адміністративний арешт – </w:t>
      </w:r>
      <w:r>
        <w:t>2,90%,</w:t>
      </w:r>
    </w:p>
    <w:p w:rsidR="00505BA7" w:rsidRPr="00027A66" w:rsidRDefault="00903356" w:rsidP="00903356">
      <w:pPr>
        <w:pStyle w:val="a5"/>
      </w:pPr>
      <w:r>
        <w:t>п</w:t>
      </w:r>
      <w:r w:rsidR="00505BA7" w:rsidRPr="00027A66">
        <w:t xml:space="preserve">озбавлення спеціального права – </w:t>
      </w:r>
      <w:r w:rsidR="00505BA7">
        <w:t>1,17</w:t>
      </w:r>
      <w:r w:rsidR="00505BA7" w:rsidRPr="00027A66">
        <w:t>%,</w:t>
      </w:r>
    </w:p>
    <w:p w:rsidR="00505BA7" w:rsidRDefault="00505BA7" w:rsidP="00903356">
      <w:pPr>
        <w:pStyle w:val="a5"/>
      </w:pPr>
      <w:r w:rsidRPr="00C57099">
        <w:t>конфіскація предмета, грошей (</w:t>
      </w:r>
      <w:r>
        <w:t>основне стягнення</w:t>
      </w:r>
      <w:r w:rsidRPr="00C57099">
        <w:t>) –</w:t>
      </w:r>
      <w:r>
        <w:t xml:space="preserve"> 0,71</w:t>
      </w:r>
      <w:r w:rsidRPr="00027A66">
        <w:t>%</w:t>
      </w:r>
      <w:r>
        <w:t>,</w:t>
      </w:r>
    </w:p>
    <w:p w:rsidR="00505BA7" w:rsidRDefault="00505BA7" w:rsidP="00903356">
      <w:pPr>
        <w:pStyle w:val="a5"/>
      </w:pPr>
      <w:r w:rsidRPr="00B835B4">
        <w:t>арешт з утриманням  на гауптвахті</w:t>
      </w:r>
      <w:r>
        <w:t xml:space="preserve"> – 0,37</w:t>
      </w:r>
      <w:r w:rsidRPr="00DE2EA3">
        <w:t>%</w:t>
      </w:r>
      <w:r>
        <w:t>.</w:t>
      </w:r>
    </w:p>
    <w:p w:rsidR="00505BA7" w:rsidRDefault="00505BA7" w:rsidP="00903356">
      <w:pPr>
        <w:pStyle w:val="a5"/>
      </w:pPr>
    </w:p>
    <w:p w:rsidR="00505BA7" w:rsidRPr="00DE2EA3" w:rsidRDefault="00505BA7" w:rsidP="00505BA7">
      <w:pPr>
        <w:pStyle w:val="a5"/>
        <w:ind w:firstLine="708"/>
        <w:rPr>
          <w:b/>
        </w:rPr>
      </w:pPr>
      <w:r w:rsidRPr="00DE2EA3">
        <w:rPr>
          <w:b/>
        </w:rPr>
        <w:t xml:space="preserve">Види накладених </w:t>
      </w:r>
      <w:r>
        <w:rPr>
          <w:b/>
        </w:rPr>
        <w:t>адміністративних стягнень у 2019</w:t>
      </w:r>
      <w:r w:rsidRPr="00DE2EA3">
        <w:rPr>
          <w:b/>
        </w:rPr>
        <w:t xml:space="preserve"> році</w:t>
      </w:r>
    </w:p>
    <w:p w:rsidR="00505BA7" w:rsidRDefault="00505BA7" w:rsidP="00505BA7">
      <w:pPr>
        <w:pStyle w:val="a5"/>
        <w:ind w:firstLine="708"/>
      </w:pPr>
    </w:p>
    <w:p w:rsidR="00505BA7" w:rsidRDefault="00856422" w:rsidP="00505BA7">
      <w:pPr>
        <w:pStyle w:val="a5"/>
        <w:ind w:left="-567" w:right="-165"/>
      </w:pPr>
      <w:r>
        <w:rPr>
          <w:noProof/>
          <w:lang w:val="ru-RU"/>
        </w:rPr>
        <w:drawing>
          <wp:inline distT="0" distB="0" distL="0" distR="0">
            <wp:extent cx="6710680" cy="4568825"/>
            <wp:effectExtent l="0" t="0" r="13970" b="22225"/>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05BA7" w:rsidRDefault="00505BA7" w:rsidP="00505BA7">
      <w:pPr>
        <w:pStyle w:val="a5"/>
        <w:tabs>
          <w:tab w:val="left" w:pos="1000"/>
        </w:tabs>
        <w:ind w:firstLine="709"/>
      </w:pPr>
    </w:p>
    <w:p w:rsidR="00505BA7" w:rsidRDefault="00505BA7" w:rsidP="00505BA7">
      <w:pPr>
        <w:pStyle w:val="a5"/>
        <w:tabs>
          <w:tab w:val="left" w:pos="1000"/>
        </w:tabs>
        <w:ind w:firstLine="709"/>
      </w:pPr>
    </w:p>
    <w:p w:rsidR="00505BA7" w:rsidRPr="00ED04E8" w:rsidRDefault="00505BA7" w:rsidP="00505BA7">
      <w:pPr>
        <w:pStyle w:val="a5"/>
        <w:tabs>
          <w:tab w:val="left" w:pos="1000"/>
        </w:tabs>
        <w:ind w:firstLine="709"/>
      </w:pPr>
      <w:r w:rsidRPr="00ED04E8">
        <w:t>Згідно з ч. 6 ст. 41 Конституції України конфіскація майна може бути застосована виключно за рішенням суду у випадках, обсязі та порядку, встановлених законом. Відповідно до цієї норми, справи про адміністративні правопорушення, за вчинення яких законом передбачено конфіскацію предмета, що став знаряддям вчинення або безпосереднім об’єктом адміністративного правопорушення, розглядаються лише судами. Усього впродовж звітного періоду стягнення (додаткове) у вигляді конфіскації предмета</w:t>
      </w:r>
      <w:r>
        <w:t>, грошей</w:t>
      </w:r>
      <w:r w:rsidRPr="00ED04E8">
        <w:t xml:space="preserve">, що став знаряддям вчинення або безпосереднім об'єктом адміністративного правопорушення, застосовано до </w:t>
      </w:r>
      <w:r>
        <w:t>638</w:t>
      </w:r>
      <w:r w:rsidRPr="00ED04E8">
        <w:t xml:space="preserve"> правопорушників.</w:t>
      </w:r>
    </w:p>
    <w:p w:rsidR="00505BA7" w:rsidRDefault="00505BA7" w:rsidP="00505BA7">
      <w:pPr>
        <w:tabs>
          <w:tab w:val="left" w:pos="1000"/>
        </w:tabs>
        <w:jc w:val="both"/>
      </w:pPr>
      <w:r w:rsidRPr="00ED04E8">
        <w:tab/>
      </w:r>
    </w:p>
    <w:p w:rsidR="00505BA7" w:rsidRPr="00ED04E8" w:rsidRDefault="00505BA7" w:rsidP="00505BA7">
      <w:pPr>
        <w:tabs>
          <w:tab w:val="left" w:pos="1000"/>
        </w:tabs>
        <w:ind w:firstLine="709"/>
        <w:jc w:val="both"/>
      </w:pPr>
      <w:r w:rsidRPr="00ED04E8">
        <w:lastRenderedPageBreak/>
        <w:t xml:space="preserve">Сума накладеного місцевими судами штрафу становить </w:t>
      </w:r>
      <w:r>
        <w:t>66</w:t>
      </w:r>
      <w:r w:rsidRPr="00ED04E8">
        <w:t xml:space="preserve"> млн. </w:t>
      </w:r>
      <w:r>
        <w:t xml:space="preserve">517 </w:t>
      </w:r>
      <w:r w:rsidRPr="00ED04E8">
        <w:t xml:space="preserve">тис. </w:t>
      </w:r>
      <w:r>
        <w:t>235</w:t>
      </w:r>
      <w:r w:rsidRPr="00ED04E8">
        <w:t xml:space="preserve"> грн.,</w:t>
      </w:r>
      <w:r>
        <w:t xml:space="preserve"> що на </w:t>
      </w:r>
      <w:r w:rsidR="007B3988">
        <w:t>6,15</w:t>
      </w:r>
      <w:r>
        <w:t xml:space="preserve">% </w:t>
      </w:r>
      <w:r w:rsidR="007B3988">
        <w:t>більше</w:t>
      </w:r>
      <w:r>
        <w:t xml:space="preserve"> ніж у 2018 році (</w:t>
      </w:r>
      <w:r w:rsidR="007B3988">
        <w:t>62429</w:t>
      </w:r>
      <w:r w:rsidR="007B3988" w:rsidRPr="007B3988">
        <w:t>717</w:t>
      </w:r>
      <w:r>
        <w:t xml:space="preserve"> грн.), </w:t>
      </w:r>
      <w:r w:rsidRPr="00ED04E8">
        <w:t xml:space="preserve">у тому числі добровільно сплачено </w:t>
      </w:r>
      <w:r>
        <w:t>12</w:t>
      </w:r>
      <w:r w:rsidRPr="00ED04E8">
        <w:t xml:space="preserve"> млн. </w:t>
      </w:r>
      <w:r>
        <w:t>261</w:t>
      </w:r>
      <w:r w:rsidRPr="00ED04E8">
        <w:t xml:space="preserve"> тис. </w:t>
      </w:r>
      <w:r>
        <w:t>883</w:t>
      </w:r>
      <w:r w:rsidRPr="00ED04E8">
        <w:t xml:space="preserve"> грн. (</w:t>
      </w:r>
      <w:r>
        <w:t>18,43</w:t>
      </w:r>
      <w:r w:rsidRPr="00ED04E8">
        <w:t xml:space="preserve">%). </w:t>
      </w:r>
    </w:p>
    <w:p w:rsidR="00505BA7" w:rsidRPr="00ED04E8" w:rsidRDefault="00505BA7" w:rsidP="00505BA7">
      <w:pPr>
        <w:pStyle w:val="a5"/>
        <w:tabs>
          <w:tab w:val="left" w:pos="1000"/>
        </w:tabs>
      </w:pPr>
      <w:r w:rsidRPr="00ED04E8">
        <w:tab/>
      </w:r>
    </w:p>
    <w:p w:rsidR="00505BA7" w:rsidRDefault="00505BA7" w:rsidP="00505BA7">
      <w:pPr>
        <w:pStyle w:val="a5"/>
        <w:tabs>
          <w:tab w:val="left" w:pos="1000"/>
        </w:tabs>
        <w:ind w:firstLine="709"/>
      </w:pPr>
      <w:r w:rsidRPr="00ED04E8">
        <w:t xml:space="preserve">У звітному періоді вилучено </w:t>
      </w:r>
      <w:r>
        <w:t>4</w:t>
      </w:r>
      <w:r w:rsidRPr="00ED04E8">
        <w:t xml:space="preserve"> одиниц</w:t>
      </w:r>
      <w:r>
        <w:t>і</w:t>
      </w:r>
      <w:r w:rsidRPr="00ED04E8">
        <w:t xml:space="preserve"> вогнепальної зброї, </w:t>
      </w:r>
      <w:r>
        <w:t>114,77г</w:t>
      </w:r>
      <w:r w:rsidRPr="00ED04E8">
        <w:t>. наркотичних засобів</w:t>
      </w:r>
      <w:r>
        <w:t xml:space="preserve">, сума конфіскованої валюти становить </w:t>
      </w:r>
      <w:r w:rsidRPr="001050A4">
        <w:t>5368</w:t>
      </w:r>
      <w:r>
        <w:t xml:space="preserve"> грн.</w:t>
      </w:r>
    </w:p>
    <w:p w:rsidR="00505BA7" w:rsidRDefault="00505BA7" w:rsidP="00505BA7">
      <w:pPr>
        <w:pStyle w:val="a5"/>
        <w:tabs>
          <w:tab w:val="left" w:pos="1000"/>
        </w:tabs>
      </w:pPr>
    </w:p>
    <w:p w:rsidR="00505BA7" w:rsidRDefault="00505BA7" w:rsidP="00505BA7">
      <w:pPr>
        <w:pStyle w:val="a5"/>
        <w:tabs>
          <w:tab w:val="left" w:pos="1000"/>
        </w:tabs>
      </w:pPr>
    </w:p>
    <w:p w:rsidR="00505BA7" w:rsidRDefault="00505BA7" w:rsidP="00505BA7">
      <w:pPr>
        <w:pStyle w:val="a5"/>
        <w:tabs>
          <w:tab w:val="left" w:pos="1000"/>
        </w:tabs>
        <w:jc w:val="center"/>
        <w:rPr>
          <w:b/>
          <w:sz w:val="32"/>
          <w:szCs w:val="32"/>
        </w:rPr>
      </w:pPr>
      <w:r>
        <w:rPr>
          <w:b/>
          <w:sz w:val="32"/>
          <w:szCs w:val="32"/>
        </w:rPr>
        <w:t>ПОКАЗНИКИ СПЛАТИ СУДОВОГО ЗБОРУ</w:t>
      </w:r>
    </w:p>
    <w:p w:rsidR="00505BA7" w:rsidRDefault="00505BA7" w:rsidP="00505BA7">
      <w:pPr>
        <w:pStyle w:val="a5"/>
        <w:tabs>
          <w:tab w:val="left" w:pos="1000"/>
        </w:tabs>
      </w:pPr>
    </w:p>
    <w:p w:rsidR="00505BA7" w:rsidRDefault="00505BA7" w:rsidP="00505BA7">
      <w:pPr>
        <w:pStyle w:val="a5"/>
        <w:ind w:firstLine="709"/>
      </w:pPr>
      <w:r>
        <w:t>Впродовж звітного періоду на розгляді місцевих загальних судів Вінницької області перебувало 29</w:t>
      </w:r>
      <w:r w:rsidRPr="004A5238">
        <w:t>555</w:t>
      </w:r>
      <w:r>
        <w:t xml:space="preserve"> заяв (скарг), судових рішень, у яких справляється судовий збір</w:t>
      </w:r>
      <w:r>
        <w:rPr>
          <w:szCs w:val="28"/>
        </w:rPr>
        <w:t xml:space="preserve">, що на </w:t>
      </w:r>
      <w:r w:rsidR="00986F37">
        <w:rPr>
          <w:szCs w:val="28"/>
        </w:rPr>
        <w:t>4079</w:t>
      </w:r>
      <w:r>
        <w:rPr>
          <w:szCs w:val="28"/>
        </w:rPr>
        <w:t xml:space="preserve"> </w:t>
      </w:r>
      <w:r w:rsidR="009C44EB">
        <w:rPr>
          <w:szCs w:val="28"/>
        </w:rPr>
        <w:t xml:space="preserve">заяв </w:t>
      </w:r>
      <w:r>
        <w:rPr>
          <w:szCs w:val="28"/>
        </w:rPr>
        <w:t>менше ніж в 2018 році</w:t>
      </w:r>
      <w:r>
        <w:t>.</w:t>
      </w:r>
    </w:p>
    <w:p w:rsidR="00505BA7" w:rsidRDefault="00505BA7" w:rsidP="00505BA7">
      <w:pPr>
        <w:pStyle w:val="a5"/>
        <w:ind w:firstLine="709"/>
        <w:rPr>
          <w:szCs w:val="28"/>
        </w:rPr>
      </w:pPr>
      <w:r>
        <w:t xml:space="preserve">Розрахункова сума судового збору за звітний період становить 30 млн. 637 тис. 639 грн. – це на </w:t>
      </w:r>
      <w:r w:rsidR="00986F37">
        <w:t>587172</w:t>
      </w:r>
      <w:r>
        <w:rPr>
          <w:szCs w:val="28"/>
        </w:rPr>
        <w:t xml:space="preserve"> </w:t>
      </w:r>
      <w:r w:rsidR="0048745A">
        <w:rPr>
          <w:szCs w:val="28"/>
        </w:rPr>
        <w:t xml:space="preserve">грн. (1,92%) </w:t>
      </w:r>
      <w:r>
        <w:rPr>
          <w:szCs w:val="28"/>
        </w:rPr>
        <w:t>менше ніж в 2018 році.</w:t>
      </w:r>
    </w:p>
    <w:p w:rsidR="00505BA7" w:rsidRDefault="00505BA7" w:rsidP="00505BA7">
      <w:pPr>
        <w:pStyle w:val="a5"/>
        <w:ind w:firstLine="709"/>
      </w:pPr>
      <w:r>
        <w:t>Сума фактично сплаченого судового збору становить 24</w:t>
      </w:r>
      <w:r w:rsidR="00986F37">
        <w:t xml:space="preserve"> млн. 224 тис. 447 грн., що на 1 млн. 258 тис. 602 грн. менше ніж у</w:t>
      </w:r>
      <w:r>
        <w:t xml:space="preserve"> 2018 році, присуджено до стягнення судового збору за рішеннями судів в Державний бюджет України –  </w:t>
      </w:r>
      <w:r w:rsidR="00986F37">
        <w:t xml:space="preserve">1 </w:t>
      </w:r>
      <w:r>
        <w:t xml:space="preserve">млн. 232 тис. 873 грн., що на </w:t>
      </w:r>
      <w:r w:rsidR="00986F37">
        <w:t>56</w:t>
      </w:r>
      <w:r>
        <w:t xml:space="preserve"> тис. </w:t>
      </w:r>
      <w:r w:rsidR="00986F37">
        <w:t>595</w:t>
      </w:r>
      <w:r>
        <w:t xml:space="preserve"> грн.</w:t>
      </w:r>
      <w:r w:rsidR="009C44EB">
        <w:t xml:space="preserve"> </w:t>
      </w:r>
      <w:r w:rsidR="00911930" w:rsidRPr="00911930">
        <w:t>менше ніж в 2018 році.</w:t>
      </w:r>
    </w:p>
    <w:p w:rsidR="00505BA7" w:rsidRDefault="00505BA7" w:rsidP="00505BA7">
      <w:pPr>
        <w:pStyle w:val="a5"/>
        <w:ind w:firstLine="709"/>
      </w:pPr>
      <w:r>
        <w:t>Сума фактично сплаченого судового збору</w:t>
      </w:r>
      <w:r w:rsidR="0048745A">
        <w:t xml:space="preserve"> </w:t>
      </w:r>
      <w:r>
        <w:t xml:space="preserve">при зверненні до суду </w:t>
      </w:r>
      <w:r w:rsidR="0048745A">
        <w:t xml:space="preserve">(за категоріями справ) </w:t>
      </w:r>
      <w:r w:rsidRPr="00FB058B">
        <w:t>наведена в діаграмі:</w:t>
      </w:r>
    </w:p>
    <w:p w:rsidR="00505BA7" w:rsidRDefault="00505BA7" w:rsidP="00505BA7">
      <w:pPr>
        <w:pStyle w:val="a5"/>
        <w:rPr>
          <w:b/>
        </w:rPr>
      </w:pPr>
    </w:p>
    <w:p w:rsidR="00505BA7" w:rsidRPr="007E3D81" w:rsidRDefault="00505BA7" w:rsidP="00505BA7">
      <w:pPr>
        <w:pStyle w:val="a5"/>
        <w:ind w:firstLine="709"/>
        <w:jc w:val="center"/>
        <w:rPr>
          <w:b/>
        </w:rPr>
      </w:pPr>
      <w:r w:rsidRPr="00FB058B">
        <w:rPr>
          <w:b/>
        </w:rPr>
        <w:t>Сума фактично сплаченого судового збору при зверненні до суду</w:t>
      </w:r>
    </w:p>
    <w:p w:rsidR="00505BA7" w:rsidRDefault="00856422" w:rsidP="00505BA7">
      <w:pPr>
        <w:pStyle w:val="a5"/>
      </w:pPr>
      <w:r>
        <w:rPr>
          <w:noProof/>
          <w:lang w:val="ru-RU"/>
        </w:rPr>
        <w:drawing>
          <wp:inline distT="0" distB="0" distL="0" distR="0">
            <wp:extent cx="5189855" cy="4075430"/>
            <wp:effectExtent l="0" t="0" r="10795" b="20320"/>
            <wp:docPr id="1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05BA7" w:rsidRPr="005C5227" w:rsidRDefault="00505BA7" w:rsidP="005C5227">
      <w:pPr>
        <w:pStyle w:val="a5"/>
        <w:ind w:firstLine="709"/>
        <w:rPr>
          <w:szCs w:val="28"/>
        </w:rPr>
      </w:pPr>
      <w:r w:rsidRPr="00B900A2">
        <w:lastRenderedPageBreak/>
        <w:t xml:space="preserve">Згідно ст.ст. 5 та 8 Закону України «Про судовий збір» суд може зменшити розмір судового збору або звільнити від його сплати. У </w:t>
      </w:r>
      <w:r>
        <w:rPr>
          <w:szCs w:val="28"/>
        </w:rPr>
        <w:t>2019</w:t>
      </w:r>
      <w:r w:rsidRPr="00B900A2">
        <w:rPr>
          <w:szCs w:val="28"/>
        </w:rPr>
        <w:t xml:space="preserve"> році позивачами було подано </w:t>
      </w:r>
      <w:r>
        <w:rPr>
          <w:szCs w:val="28"/>
        </w:rPr>
        <w:t>5599</w:t>
      </w:r>
      <w:r w:rsidRPr="00B900A2">
        <w:rPr>
          <w:szCs w:val="28"/>
        </w:rPr>
        <w:t xml:space="preserve"> заяв (скарг), при подачі яких застосовуються пільги щодо сплати судового збору, що на </w:t>
      </w:r>
      <w:r>
        <w:rPr>
          <w:szCs w:val="28"/>
        </w:rPr>
        <w:t>1545 заяв менше ніж у 2018</w:t>
      </w:r>
      <w:r w:rsidRPr="00B900A2">
        <w:rPr>
          <w:szCs w:val="28"/>
        </w:rPr>
        <w:t xml:space="preserve"> році. Розрахункова сума по даним заявам становить 4</w:t>
      </w:r>
      <w:r>
        <w:rPr>
          <w:szCs w:val="28"/>
        </w:rPr>
        <w:t xml:space="preserve"> млн.</w:t>
      </w:r>
      <w:r w:rsidRPr="00B900A2">
        <w:rPr>
          <w:szCs w:val="28"/>
        </w:rPr>
        <w:t xml:space="preserve"> </w:t>
      </w:r>
      <w:r>
        <w:rPr>
          <w:szCs w:val="28"/>
        </w:rPr>
        <w:t>051</w:t>
      </w:r>
      <w:r w:rsidRPr="00B900A2">
        <w:rPr>
          <w:szCs w:val="28"/>
        </w:rPr>
        <w:t xml:space="preserve"> тис. </w:t>
      </w:r>
      <w:r>
        <w:rPr>
          <w:szCs w:val="28"/>
        </w:rPr>
        <w:t>082</w:t>
      </w:r>
      <w:r w:rsidRPr="00B900A2">
        <w:rPr>
          <w:szCs w:val="28"/>
        </w:rPr>
        <w:t xml:space="preserve"> грн. Найбільшу кількість позовних заяв, де застосовано вказану норму закону було подано у справах </w:t>
      </w:r>
      <w:r w:rsidR="0048745A">
        <w:rPr>
          <w:szCs w:val="28"/>
        </w:rPr>
        <w:t>«</w:t>
      </w:r>
      <w:r w:rsidRPr="00B900A2">
        <w:rPr>
          <w:szCs w:val="28"/>
        </w:rPr>
        <w:t xml:space="preserve">про </w:t>
      </w:r>
      <w:r w:rsidR="00911930" w:rsidRPr="00911930">
        <w:rPr>
          <w:szCs w:val="28"/>
        </w:rPr>
        <w:t>стягнення аліментів, оплату додаткових витрат на дитину, стягнення неустойки (пені) за прострочення сплати аліментів, індексацію аліментів чи зміну способу їх стягнення</w:t>
      </w:r>
      <w:r w:rsidR="0048745A">
        <w:rPr>
          <w:szCs w:val="28"/>
        </w:rPr>
        <w:t>»</w:t>
      </w:r>
      <w:r w:rsidR="00911930" w:rsidRPr="00911930">
        <w:rPr>
          <w:szCs w:val="28"/>
        </w:rPr>
        <w:t xml:space="preserve">, а також у разі подання заяви </w:t>
      </w:r>
      <w:r w:rsidR="00F545B7">
        <w:rPr>
          <w:szCs w:val="28"/>
        </w:rPr>
        <w:t>«</w:t>
      </w:r>
      <w:r w:rsidR="00911930" w:rsidRPr="00911930">
        <w:rPr>
          <w:szCs w:val="28"/>
        </w:rPr>
        <w:t>щодо видачі судового наказу про стягнення аліментів</w:t>
      </w:r>
      <w:r w:rsidR="00911930">
        <w:rPr>
          <w:szCs w:val="28"/>
        </w:rPr>
        <w:t xml:space="preserve">» </w:t>
      </w:r>
      <w:r w:rsidRPr="00B900A2">
        <w:rPr>
          <w:szCs w:val="28"/>
        </w:rPr>
        <w:t xml:space="preserve">– </w:t>
      </w:r>
      <w:r>
        <w:rPr>
          <w:szCs w:val="28"/>
        </w:rPr>
        <w:t>4224</w:t>
      </w:r>
      <w:r w:rsidRPr="00B900A2">
        <w:rPr>
          <w:szCs w:val="28"/>
        </w:rPr>
        <w:t xml:space="preserve">, </w:t>
      </w:r>
      <w:r w:rsidR="00911930">
        <w:rPr>
          <w:szCs w:val="28"/>
        </w:rPr>
        <w:t>особами</w:t>
      </w:r>
      <w:r w:rsidR="00911930" w:rsidRPr="00911930">
        <w:rPr>
          <w:szCs w:val="28"/>
        </w:rPr>
        <w:t xml:space="preserve"> з ін</w:t>
      </w:r>
      <w:r w:rsidR="00911930">
        <w:rPr>
          <w:szCs w:val="28"/>
        </w:rPr>
        <w:t>валідністю I та II груп, законними представниками</w:t>
      </w:r>
      <w:r w:rsidR="00911930" w:rsidRPr="00911930">
        <w:rPr>
          <w:szCs w:val="28"/>
        </w:rPr>
        <w:t xml:space="preserve"> дітей з інвалідністю і недієздатних осіб з інвалідністю</w:t>
      </w:r>
      <w:r w:rsidR="005C5227">
        <w:rPr>
          <w:szCs w:val="28"/>
        </w:rPr>
        <w:t xml:space="preserve"> – </w:t>
      </w:r>
      <w:r>
        <w:rPr>
          <w:szCs w:val="28"/>
        </w:rPr>
        <w:t>544</w:t>
      </w:r>
      <w:r w:rsidRPr="00B900A2">
        <w:rPr>
          <w:szCs w:val="28"/>
        </w:rPr>
        <w:t xml:space="preserve">, </w:t>
      </w:r>
      <w:r w:rsidR="00911930" w:rsidRPr="00911930">
        <w:rPr>
          <w:szCs w:val="28"/>
        </w:rPr>
        <w:t>у справах про стягнення заробітної плати та поновлення на роботі</w:t>
      </w:r>
      <w:r w:rsidR="00911930">
        <w:rPr>
          <w:szCs w:val="28"/>
        </w:rPr>
        <w:t xml:space="preserve"> </w:t>
      </w:r>
      <w:r w:rsidRPr="00B900A2">
        <w:rPr>
          <w:szCs w:val="28"/>
        </w:rPr>
        <w:t xml:space="preserve">– </w:t>
      </w:r>
      <w:r>
        <w:rPr>
          <w:szCs w:val="28"/>
        </w:rPr>
        <w:t>174.</w:t>
      </w: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505BA7">
      <w:pPr>
        <w:pStyle w:val="a5"/>
        <w:ind w:firstLine="709"/>
      </w:pPr>
    </w:p>
    <w:p w:rsidR="00505BA7" w:rsidRDefault="00505BA7" w:rsidP="00FF754C">
      <w:pPr>
        <w:pStyle w:val="a5"/>
      </w:pPr>
    </w:p>
    <w:p w:rsidR="00FF754C" w:rsidRPr="00B900A2" w:rsidRDefault="00FF754C" w:rsidP="00FF754C">
      <w:pPr>
        <w:pStyle w:val="a5"/>
        <w:rPr>
          <w:szCs w:val="28"/>
        </w:rPr>
      </w:pPr>
    </w:p>
    <w:p w:rsidR="00FC5750" w:rsidRPr="001A48AF" w:rsidRDefault="00F469C1" w:rsidP="00FC5750">
      <w:pPr>
        <w:tabs>
          <w:tab w:val="left" w:pos="1000"/>
        </w:tabs>
        <w:jc w:val="center"/>
        <w:rPr>
          <w:b/>
          <w:sz w:val="32"/>
          <w:szCs w:val="32"/>
          <w:lang w:val="ru-RU"/>
        </w:rPr>
      </w:pPr>
      <w:r w:rsidRPr="00A611D4">
        <w:rPr>
          <w:b/>
          <w:sz w:val="32"/>
          <w:szCs w:val="32"/>
        </w:rPr>
        <w:lastRenderedPageBreak/>
        <w:t>В</w:t>
      </w:r>
      <w:r w:rsidR="00FC5750" w:rsidRPr="00A611D4">
        <w:rPr>
          <w:b/>
          <w:sz w:val="32"/>
          <w:szCs w:val="32"/>
        </w:rPr>
        <w:t>ИСНОВКИ</w:t>
      </w:r>
    </w:p>
    <w:p w:rsidR="00B35C14" w:rsidRPr="001A48AF" w:rsidRDefault="00B35C14" w:rsidP="00FC5750">
      <w:pPr>
        <w:tabs>
          <w:tab w:val="left" w:pos="1000"/>
        </w:tabs>
        <w:jc w:val="center"/>
        <w:rPr>
          <w:b/>
          <w:sz w:val="32"/>
          <w:szCs w:val="32"/>
          <w:lang w:val="ru-RU"/>
        </w:rPr>
      </w:pPr>
    </w:p>
    <w:p w:rsidR="00B35C14" w:rsidRPr="00A611D4" w:rsidRDefault="00B35C14" w:rsidP="00B35C14">
      <w:pPr>
        <w:ind w:firstLine="708"/>
        <w:jc w:val="both"/>
      </w:pPr>
      <w:r w:rsidRPr="00A611D4">
        <w:t xml:space="preserve">Проведений аналіз даних щодо здійснення судочинства місцевими загальними судами Вінницької області свідчить про те, що впродовж звітного періоду відзначалося незначне </w:t>
      </w:r>
      <w:r w:rsidR="009B1CEB">
        <w:t xml:space="preserve">збільшилось </w:t>
      </w:r>
      <w:r w:rsidRPr="00A611D4">
        <w:t>надходження справ та матеріалів кримінального судочинства</w:t>
      </w:r>
      <w:r w:rsidR="001A48AF">
        <w:t xml:space="preserve"> (</w:t>
      </w:r>
      <w:r w:rsidR="001D5161">
        <w:t>4,</w:t>
      </w:r>
      <w:r w:rsidR="00301320">
        <w:t>52</w:t>
      </w:r>
      <w:r w:rsidR="001A48AF">
        <w:t>%)</w:t>
      </w:r>
      <w:r w:rsidRPr="00A611D4">
        <w:t xml:space="preserve"> </w:t>
      </w:r>
      <w:r w:rsidR="001D5161">
        <w:t>та  справ і</w:t>
      </w:r>
      <w:r w:rsidR="001D5161" w:rsidRPr="00A611D4">
        <w:t xml:space="preserve"> матеріалів про адміністративні правопорушення</w:t>
      </w:r>
      <w:r w:rsidR="001D5161">
        <w:t xml:space="preserve"> (</w:t>
      </w:r>
      <w:r w:rsidR="00EA1E40">
        <w:t>4</w:t>
      </w:r>
      <w:r w:rsidR="001D5161">
        <w:t>,</w:t>
      </w:r>
      <w:r w:rsidR="00EA1E40">
        <w:t>05</w:t>
      </w:r>
      <w:r w:rsidR="001D5161">
        <w:t>%)</w:t>
      </w:r>
      <w:r w:rsidR="00EA1E40">
        <w:t>,</w:t>
      </w:r>
      <w:r w:rsidR="001D5161">
        <w:t xml:space="preserve"> </w:t>
      </w:r>
      <w:r w:rsidRPr="00A611D4">
        <w:t xml:space="preserve">а також </w:t>
      </w:r>
      <w:r w:rsidR="009B1CEB">
        <w:t>зменш</w:t>
      </w:r>
      <w:r w:rsidR="001D5161">
        <w:t xml:space="preserve">ення надходження справ і матеріалів </w:t>
      </w:r>
      <w:r w:rsidRPr="00A611D4">
        <w:t xml:space="preserve"> цивільного</w:t>
      </w:r>
      <w:r w:rsidR="001C7BC9" w:rsidRPr="001C7BC9">
        <w:t xml:space="preserve"> судочинства</w:t>
      </w:r>
      <w:r w:rsidR="00505BA7">
        <w:t xml:space="preserve"> (</w:t>
      </w:r>
      <w:r w:rsidR="001D5161">
        <w:t>9,54%</w:t>
      </w:r>
      <w:r w:rsidR="001C7BC9">
        <w:t>)</w:t>
      </w:r>
      <w:r w:rsidR="001D5161">
        <w:t xml:space="preserve"> та </w:t>
      </w:r>
      <w:r w:rsidR="00DD53D9">
        <w:t xml:space="preserve"> адміністративного судочинства</w:t>
      </w:r>
      <w:r w:rsidR="00505BA7">
        <w:t xml:space="preserve"> (</w:t>
      </w:r>
      <w:r w:rsidR="001D5161">
        <w:t>17,47</w:t>
      </w:r>
      <w:r w:rsidR="001C7BC9">
        <w:t>%)</w:t>
      </w:r>
      <w:r w:rsidR="001D5161">
        <w:t>.</w:t>
      </w:r>
    </w:p>
    <w:p w:rsidR="00B35C14" w:rsidRPr="00A611D4" w:rsidRDefault="00B35C14" w:rsidP="00B35C14">
      <w:pPr>
        <w:ind w:firstLine="708"/>
        <w:jc w:val="both"/>
      </w:pPr>
      <w:r w:rsidRPr="00A611D4">
        <w:t>Впродовж звітного періоду загальна кількість справ та матеріалів, що надійшли до місцевих заг</w:t>
      </w:r>
      <w:r w:rsidR="00375438">
        <w:t xml:space="preserve">альних судів, </w:t>
      </w:r>
      <w:r w:rsidR="001C7BC9">
        <w:t>з</w:t>
      </w:r>
      <w:r w:rsidR="001D5161">
        <w:t>меншилась</w:t>
      </w:r>
      <w:r w:rsidR="00375438">
        <w:t xml:space="preserve">  на </w:t>
      </w:r>
      <w:r w:rsidR="001D5161">
        <w:t>0,64</w:t>
      </w:r>
      <w:r w:rsidRPr="00A611D4">
        <w:t>%, у порівнянні з аналогічним зві</w:t>
      </w:r>
      <w:r w:rsidR="00505BA7">
        <w:t>тним періодом</w:t>
      </w:r>
      <w:r w:rsidR="001C7BC9">
        <w:t xml:space="preserve"> 201</w:t>
      </w:r>
      <w:r w:rsidR="001D5161">
        <w:t>8</w:t>
      </w:r>
      <w:r w:rsidRPr="00A611D4">
        <w:t xml:space="preserve"> року. </w:t>
      </w:r>
    </w:p>
    <w:p w:rsidR="00B35C14" w:rsidRPr="00A611D4" w:rsidRDefault="00B35C14" w:rsidP="007F3BDC">
      <w:pPr>
        <w:ind w:firstLine="708"/>
        <w:jc w:val="both"/>
        <w:rPr>
          <w:lang w:val="ru-RU"/>
        </w:rPr>
      </w:pPr>
      <w:r w:rsidRPr="00A611D4">
        <w:t>Середньомісячне навантаження на чисельність</w:t>
      </w:r>
      <w:r w:rsidR="00B6681F">
        <w:t xml:space="preserve"> повноважних</w:t>
      </w:r>
      <w:r w:rsidRPr="00A611D4">
        <w:t xml:space="preserve"> суддів </w:t>
      </w:r>
      <w:r w:rsidR="0029600C">
        <w:t>з</w:t>
      </w:r>
      <w:r w:rsidR="002824EE">
        <w:t xml:space="preserve">меншилось </w:t>
      </w:r>
      <w:r w:rsidR="00F00897">
        <w:t xml:space="preserve">на </w:t>
      </w:r>
      <w:r w:rsidR="002824EE">
        <w:t>7</w:t>
      </w:r>
      <w:r w:rsidR="00505BA7">
        <w:t>,</w:t>
      </w:r>
      <w:r w:rsidR="00EA1E40">
        <w:t>13</w:t>
      </w:r>
      <w:r w:rsidRPr="00A611D4">
        <w:t xml:space="preserve">%, у порівнянні </w:t>
      </w:r>
      <w:r w:rsidR="00B6681F">
        <w:t>з аналогічним періодом 201</w:t>
      </w:r>
      <w:r w:rsidR="002824EE">
        <w:t>8</w:t>
      </w:r>
      <w:r w:rsidRPr="00A611D4">
        <w:t xml:space="preserve"> року.</w:t>
      </w:r>
      <w:r w:rsidRPr="00A611D4">
        <w:rPr>
          <w:lang w:val="ru-RU"/>
        </w:rPr>
        <w:t xml:space="preserve"> </w:t>
      </w:r>
      <w:r w:rsidR="004F41AB" w:rsidRPr="00A611D4">
        <w:rPr>
          <w:lang w:val="ru-RU"/>
        </w:rPr>
        <w:t>А</w:t>
      </w:r>
      <w:r w:rsidR="007E733D" w:rsidRPr="00A611D4">
        <w:rPr>
          <w:lang w:val="ru-RU"/>
        </w:rPr>
        <w:t>ле</w:t>
      </w:r>
      <w:r w:rsidR="00505BA7">
        <w:rPr>
          <w:lang w:val="ru-RU"/>
        </w:rPr>
        <w:t xml:space="preserve">, </w:t>
      </w:r>
      <w:r w:rsidRPr="00A611D4">
        <w:t xml:space="preserve">враховуючи кількість вакантних посад суддів (станом на </w:t>
      </w:r>
      <w:r w:rsidR="004F41AB" w:rsidRPr="00A611D4">
        <w:t>31 грудня</w:t>
      </w:r>
      <w:r w:rsidR="002824EE">
        <w:t xml:space="preserve"> 201</w:t>
      </w:r>
      <w:r w:rsidR="001D5161">
        <w:t>9</w:t>
      </w:r>
      <w:r w:rsidR="007F3BDC" w:rsidRPr="00A611D4">
        <w:t xml:space="preserve"> року </w:t>
      </w:r>
      <w:r w:rsidR="007F3BDC" w:rsidRPr="00A611D4">
        <w:rPr>
          <w:lang w:val="ru-RU"/>
        </w:rPr>
        <w:t>–</w:t>
      </w:r>
      <w:r w:rsidRPr="00A611D4">
        <w:t xml:space="preserve"> </w:t>
      </w:r>
      <w:r w:rsidR="002824EE">
        <w:t>61</w:t>
      </w:r>
      <w:r w:rsidRPr="00A611D4">
        <w:t xml:space="preserve"> посад</w:t>
      </w:r>
      <w:r w:rsidR="002824EE">
        <w:t>а</w:t>
      </w:r>
      <w:r w:rsidRPr="00A611D4">
        <w:t xml:space="preserve">) та суддів,  у яких закінчились повноваження та не вирішено питання про обрання безстроково – </w:t>
      </w:r>
      <w:r w:rsidR="002824EE">
        <w:t>6</w:t>
      </w:r>
      <w:r w:rsidRPr="00FD5B4C">
        <w:t xml:space="preserve"> судді</w:t>
      </w:r>
      <w:r w:rsidR="00313DFA">
        <w:t>в</w:t>
      </w:r>
      <w:r w:rsidRPr="00A611D4">
        <w:t xml:space="preserve">, фактичне навантаження на працюючих суддів </w:t>
      </w:r>
      <w:r w:rsidR="004F41AB" w:rsidRPr="00A611D4">
        <w:t>з</w:t>
      </w:r>
      <w:r w:rsidR="002824EE">
        <w:t>алишається з</w:t>
      </w:r>
      <w:r w:rsidR="004F41AB" w:rsidRPr="00A611D4">
        <w:t>начн</w:t>
      </w:r>
      <w:r w:rsidR="002824EE">
        <w:t xml:space="preserve">им, </w:t>
      </w:r>
      <w:r w:rsidR="004F41AB" w:rsidRPr="00A611D4">
        <w:t xml:space="preserve"> що призв</w:t>
      </w:r>
      <w:r w:rsidR="002824EE">
        <w:t>одить</w:t>
      </w:r>
      <w:r w:rsidR="004F41AB" w:rsidRPr="00A611D4">
        <w:t xml:space="preserve"> до збільшення строку розгляду справ та матеріалів</w:t>
      </w:r>
      <w:r w:rsidR="002824EE">
        <w:t>.</w:t>
      </w:r>
    </w:p>
    <w:p w:rsidR="00B35C14" w:rsidRPr="00A611D4" w:rsidRDefault="00B35C14" w:rsidP="00B35C14">
      <w:pPr>
        <w:ind w:firstLine="708"/>
        <w:jc w:val="both"/>
      </w:pPr>
      <w:r w:rsidRPr="00A611D4">
        <w:t>Варто зазначити, що динаміка середньомісячного надходження</w:t>
      </w:r>
      <w:r w:rsidR="00FD5B4C">
        <w:t xml:space="preserve"> усіх справ та матеріалів у 201</w:t>
      </w:r>
      <w:r w:rsidR="002824EE">
        <w:t>9</w:t>
      </w:r>
      <w:r w:rsidRPr="00A611D4">
        <w:t xml:space="preserve"> ро</w:t>
      </w:r>
      <w:r w:rsidR="00F41FB0" w:rsidRPr="00A611D4">
        <w:t>ці</w:t>
      </w:r>
      <w:r w:rsidRPr="00A611D4">
        <w:t xml:space="preserve"> є нерівномірною</w:t>
      </w:r>
      <w:r w:rsidR="00FD5B4C">
        <w:t>. Так, навантаження на суддів 1</w:t>
      </w:r>
      <w:r w:rsidR="002824EE">
        <w:t>1</w:t>
      </w:r>
      <w:r w:rsidRPr="00A611D4">
        <w:t xml:space="preserve"> місцевих загальних судів</w:t>
      </w:r>
      <w:r w:rsidR="00F41FB0" w:rsidRPr="00A611D4">
        <w:t xml:space="preserve"> області збільшилось від </w:t>
      </w:r>
      <w:r w:rsidR="002824EE">
        <w:t xml:space="preserve">63,28% (Тростянецький районний суд Вінницької області) до 3.03% (Вінницький міський суд Вінницької області). При цьому в 18 місцевих загальних судах </w:t>
      </w:r>
      <w:r w:rsidRPr="00A611D4">
        <w:t>навантаження зменшилося від -</w:t>
      </w:r>
      <w:r w:rsidR="002824EE">
        <w:t>3,56</w:t>
      </w:r>
      <w:r w:rsidRPr="00A611D4">
        <w:t>%</w:t>
      </w:r>
      <w:r w:rsidR="00F00897">
        <w:t xml:space="preserve"> Жмеринський міськрайонний суд Вінницької області) до</w:t>
      </w:r>
      <w:r w:rsidRPr="00A611D4">
        <w:t xml:space="preserve"> </w:t>
      </w:r>
      <w:r w:rsidR="00F00897">
        <w:t>-73,46% (</w:t>
      </w:r>
      <w:r w:rsidR="00B22753">
        <w:t>Оратівськ</w:t>
      </w:r>
      <w:r w:rsidR="00F00897">
        <w:t>ий</w:t>
      </w:r>
      <w:r w:rsidR="00B22753">
        <w:t xml:space="preserve"> районн</w:t>
      </w:r>
      <w:r w:rsidR="00F00897">
        <w:t xml:space="preserve">ий </w:t>
      </w:r>
      <w:r w:rsidR="00B22753" w:rsidRPr="00B22753">
        <w:t>суд Вінницької області</w:t>
      </w:r>
      <w:r w:rsidR="00F00897">
        <w:t xml:space="preserve">). </w:t>
      </w:r>
    </w:p>
    <w:p w:rsidR="00B35C14" w:rsidRPr="00A611D4" w:rsidRDefault="00B35C14" w:rsidP="00FC5750">
      <w:pPr>
        <w:tabs>
          <w:tab w:val="left" w:pos="1000"/>
        </w:tabs>
        <w:jc w:val="center"/>
        <w:rPr>
          <w:b/>
          <w:sz w:val="32"/>
          <w:szCs w:val="32"/>
        </w:rPr>
      </w:pPr>
    </w:p>
    <w:p w:rsidR="009654D2" w:rsidRPr="00A611D4" w:rsidRDefault="009654D2" w:rsidP="00101403">
      <w:pPr>
        <w:rPr>
          <w:b/>
          <w:bCs/>
        </w:rPr>
      </w:pPr>
    </w:p>
    <w:p w:rsidR="009654D2" w:rsidRPr="00A611D4" w:rsidRDefault="009654D2" w:rsidP="00101403">
      <w:pPr>
        <w:rPr>
          <w:b/>
          <w:bCs/>
        </w:rPr>
      </w:pPr>
    </w:p>
    <w:p w:rsidR="009654D2" w:rsidRPr="00A611D4" w:rsidRDefault="009654D2" w:rsidP="00101403">
      <w:pPr>
        <w:rPr>
          <w:b/>
          <w:bCs/>
        </w:rPr>
      </w:pPr>
    </w:p>
    <w:p w:rsidR="00101403" w:rsidRPr="00A611D4" w:rsidRDefault="00624B0B" w:rsidP="00101403">
      <w:pPr>
        <w:rPr>
          <w:b/>
          <w:bCs/>
        </w:rPr>
      </w:pPr>
      <w:r>
        <w:rPr>
          <w:b/>
          <w:bCs/>
        </w:rPr>
        <w:t>Головний</w:t>
      </w:r>
      <w:r w:rsidR="00101403" w:rsidRPr="00A611D4">
        <w:rPr>
          <w:b/>
          <w:bCs/>
        </w:rPr>
        <w:t xml:space="preserve"> спеціаліст </w:t>
      </w:r>
      <w:r w:rsidR="00D54826" w:rsidRPr="00A611D4">
        <w:rPr>
          <w:b/>
          <w:bCs/>
        </w:rPr>
        <w:t>сектору</w:t>
      </w:r>
    </w:p>
    <w:p w:rsidR="00101403" w:rsidRPr="00A611D4" w:rsidRDefault="00101403" w:rsidP="00101403">
      <w:pPr>
        <w:rPr>
          <w:b/>
          <w:bCs/>
        </w:rPr>
      </w:pPr>
      <w:r w:rsidRPr="00A611D4">
        <w:rPr>
          <w:b/>
          <w:bCs/>
        </w:rPr>
        <w:t xml:space="preserve">організаційного забезпечення </w:t>
      </w:r>
    </w:p>
    <w:p w:rsidR="005839C3" w:rsidRPr="00ED04E8" w:rsidRDefault="00101403" w:rsidP="005839C3">
      <w:r w:rsidRPr="00A611D4">
        <w:rPr>
          <w:b/>
          <w:bCs/>
        </w:rPr>
        <w:t>діяльності судів</w:t>
      </w:r>
      <w:r w:rsidR="00F469C1" w:rsidRPr="00A611D4">
        <w:rPr>
          <w:b/>
          <w:bCs/>
        </w:rPr>
        <w:t xml:space="preserve"> та</w:t>
      </w:r>
      <w:r w:rsidRPr="00A611D4">
        <w:rPr>
          <w:b/>
          <w:bCs/>
        </w:rPr>
        <w:t xml:space="preserve"> судової статистики</w:t>
      </w:r>
      <w:r w:rsidR="00624B0B">
        <w:rPr>
          <w:b/>
          <w:bCs/>
        </w:rPr>
        <w:tab/>
      </w:r>
      <w:r w:rsidR="00624B0B">
        <w:rPr>
          <w:b/>
          <w:bCs/>
        </w:rPr>
        <w:tab/>
      </w:r>
      <w:r w:rsidR="00624B0B">
        <w:rPr>
          <w:b/>
          <w:bCs/>
        </w:rPr>
        <w:tab/>
        <w:t xml:space="preserve">                       І.</w:t>
      </w:r>
      <w:r w:rsidR="00A611D4" w:rsidRPr="00A611D4">
        <w:rPr>
          <w:b/>
          <w:bCs/>
        </w:rPr>
        <w:t>О.</w:t>
      </w:r>
      <w:r w:rsidR="00624B0B">
        <w:rPr>
          <w:b/>
          <w:bCs/>
        </w:rPr>
        <w:t xml:space="preserve"> Савельєва</w:t>
      </w:r>
    </w:p>
    <w:sectPr w:rsidR="005839C3" w:rsidRPr="00ED04E8" w:rsidSect="009B232A">
      <w:headerReference w:type="default" r:id="rId26"/>
      <w:footerReference w:type="even" r:id="rId27"/>
      <w:footerReference w:type="default" r:id="rId28"/>
      <w:pgSz w:w="11906" w:h="16838"/>
      <w:pgMar w:top="719" w:right="566" w:bottom="5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60" w:rsidRDefault="00831260">
      <w:r>
        <w:separator/>
      </w:r>
    </w:p>
  </w:endnote>
  <w:endnote w:type="continuationSeparator" w:id="0">
    <w:p w:rsidR="00831260" w:rsidRDefault="0083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66" w:rsidRDefault="00143D66" w:rsidP="005839C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43D66" w:rsidRDefault="00143D66" w:rsidP="005839C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66" w:rsidRDefault="00143D66" w:rsidP="005839C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56422">
      <w:rPr>
        <w:rStyle w:val="a8"/>
        <w:noProof/>
      </w:rPr>
      <w:t>6</w:t>
    </w:r>
    <w:r>
      <w:rPr>
        <w:rStyle w:val="a8"/>
      </w:rPr>
      <w:fldChar w:fldCharType="end"/>
    </w:r>
  </w:p>
  <w:p w:rsidR="00143D66" w:rsidRDefault="00143D66" w:rsidP="005839C3">
    <w:pPr>
      <w:pStyle w:val="a4"/>
      <w:ind w:right="360"/>
    </w:pPr>
  </w:p>
  <w:p w:rsidR="00143D66" w:rsidRDefault="00143D66" w:rsidP="005839C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60" w:rsidRDefault="00831260">
      <w:r>
        <w:separator/>
      </w:r>
    </w:p>
  </w:footnote>
  <w:footnote w:type="continuationSeparator" w:id="0">
    <w:p w:rsidR="00831260" w:rsidRDefault="0083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D66" w:rsidRDefault="00143D66">
    <w:pPr>
      <w:pStyle w:val="a3"/>
    </w:pPr>
  </w:p>
  <w:p w:rsidR="00143D66" w:rsidRDefault="00143D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16368"/>
    <w:multiLevelType w:val="hybridMultilevel"/>
    <w:tmpl w:val="A4189CD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664C2C43"/>
    <w:multiLevelType w:val="hybridMultilevel"/>
    <w:tmpl w:val="51A0F74A"/>
    <w:lvl w:ilvl="0" w:tplc="5830B320">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6E020BE7"/>
    <w:multiLevelType w:val="hybridMultilevel"/>
    <w:tmpl w:val="388E28A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C3"/>
    <w:rsid w:val="00003AF9"/>
    <w:rsid w:val="00004337"/>
    <w:rsid w:val="00004CE0"/>
    <w:rsid w:val="000070E7"/>
    <w:rsid w:val="00010BE2"/>
    <w:rsid w:val="00012D47"/>
    <w:rsid w:val="000135F7"/>
    <w:rsid w:val="000146B3"/>
    <w:rsid w:val="00015BED"/>
    <w:rsid w:val="0002327E"/>
    <w:rsid w:val="00023B7C"/>
    <w:rsid w:val="00030F97"/>
    <w:rsid w:val="00031290"/>
    <w:rsid w:val="00031F35"/>
    <w:rsid w:val="00035BB5"/>
    <w:rsid w:val="00035E6A"/>
    <w:rsid w:val="0003662F"/>
    <w:rsid w:val="00041815"/>
    <w:rsid w:val="0004264C"/>
    <w:rsid w:val="00043E3F"/>
    <w:rsid w:val="000443FF"/>
    <w:rsid w:val="000453DB"/>
    <w:rsid w:val="00051546"/>
    <w:rsid w:val="00054D37"/>
    <w:rsid w:val="00056B15"/>
    <w:rsid w:val="0005764D"/>
    <w:rsid w:val="00061189"/>
    <w:rsid w:val="000635E8"/>
    <w:rsid w:val="0006744A"/>
    <w:rsid w:val="00067F62"/>
    <w:rsid w:val="0007407D"/>
    <w:rsid w:val="000750A3"/>
    <w:rsid w:val="00075F6B"/>
    <w:rsid w:val="00084D6E"/>
    <w:rsid w:val="0008544C"/>
    <w:rsid w:val="00085A89"/>
    <w:rsid w:val="00086D00"/>
    <w:rsid w:val="00087973"/>
    <w:rsid w:val="00087F5B"/>
    <w:rsid w:val="00090568"/>
    <w:rsid w:val="000927C7"/>
    <w:rsid w:val="00093FA3"/>
    <w:rsid w:val="00094828"/>
    <w:rsid w:val="00094E6E"/>
    <w:rsid w:val="00095287"/>
    <w:rsid w:val="000A07D8"/>
    <w:rsid w:val="000A1368"/>
    <w:rsid w:val="000A57D3"/>
    <w:rsid w:val="000A6FF6"/>
    <w:rsid w:val="000B0147"/>
    <w:rsid w:val="000B0A51"/>
    <w:rsid w:val="000B23E2"/>
    <w:rsid w:val="000B49DB"/>
    <w:rsid w:val="000B543D"/>
    <w:rsid w:val="000B7385"/>
    <w:rsid w:val="000C04E8"/>
    <w:rsid w:val="000C2E38"/>
    <w:rsid w:val="000C34E3"/>
    <w:rsid w:val="000C3CA3"/>
    <w:rsid w:val="000C55DF"/>
    <w:rsid w:val="000D0573"/>
    <w:rsid w:val="000D1C3E"/>
    <w:rsid w:val="000D4B3B"/>
    <w:rsid w:val="000D592F"/>
    <w:rsid w:val="000D6FC2"/>
    <w:rsid w:val="000D70B3"/>
    <w:rsid w:val="000D7578"/>
    <w:rsid w:val="000E4633"/>
    <w:rsid w:val="000E66A6"/>
    <w:rsid w:val="000E6B69"/>
    <w:rsid w:val="000F1355"/>
    <w:rsid w:val="000F39EB"/>
    <w:rsid w:val="000F53B5"/>
    <w:rsid w:val="000F76CD"/>
    <w:rsid w:val="000F7E2D"/>
    <w:rsid w:val="00100EB1"/>
    <w:rsid w:val="00101403"/>
    <w:rsid w:val="001018C3"/>
    <w:rsid w:val="001019B2"/>
    <w:rsid w:val="00102FFA"/>
    <w:rsid w:val="00104701"/>
    <w:rsid w:val="00104773"/>
    <w:rsid w:val="00104B57"/>
    <w:rsid w:val="001058EA"/>
    <w:rsid w:val="0010694C"/>
    <w:rsid w:val="00110065"/>
    <w:rsid w:val="00112B99"/>
    <w:rsid w:val="001168AA"/>
    <w:rsid w:val="00120626"/>
    <w:rsid w:val="00123D89"/>
    <w:rsid w:val="00126E12"/>
    <w:rsid w:val="00127D12"/>
    <w:rsid w:val="001300E2"/>
    <w:rsid w:val="001307EA"/>
    <w:rsid w:val="001330DE"/>
    <w:rsid w:val="001364C9"/>
    <w:rsid w:val="00136FE0"/>
    <w:rsid w:val="00137A48"/>
    <w:rsid w:val="00140C19"/>
    <w:rsid w:val="00140FE1"/>
    <w:rsid w:val="001419C8"/>
    <w:rsid w:val="00141C4A"/>
    <w:rsid w:val="001425B2"/>
    <w:rsid w:val="00143D66"/>
    <w:rsid w:val="00147992"/>
    <w:rsid w:val="001524AE"/>
    <w:rsid w:val="00153535"/>
    <w:rsid w:val="00154300"/>
    <w:rsid w:val="001548B8"/>
    <w:rsid w:val="001559F7"/>
    <w:rsid w:val="001578A8"/>
    <w:rsid w:val="001621D7"/>
    <w:rsid w:val="0016341B"/>
    <w:rsid w:val="00164030"/>
    <w:rsid w:val="0016450A"/>
    <w:rsid w:val="0016646C"/>
    <w:rsid w:val="001715E3"/>
    <w:rsid w:val="0017334A"/>
    <w:rsid w:val="00175164"/>
    <w:rsid w:val="00175CB8"/>
    <w:rsid w:val="001772F7"/>
    <w:rsid w:val="00177AD6"/>
    <w:rsid w:val="00182161"/>
    <w:rsid w:val="00185172"/>
    <w:rsid w:val="001869DB"/>
    <w:rsid w:val="00191179"/>
    <w:rsid w:val="00191D28"/>
    <w:rsid w:val="00193483"/>
    <w:rsid w:val="0019466D"/>
    <w:rsid w:val="00194AE9"/>
    <w:rsid w:val="00196EC9"/>
    <w:rsid w:val="001A04C4"/>
    <w:rsid w:val="001A05DD"/>
    <w:rsid w:val="001A440E"/>
    <w:rsid w:val="001A48AF"/>
    <w:rsid w:val="001A594E"/>
    <w:rsid w:val="001A61C9"/>
    <w:rsid w:val="001A6639"/>
    <w:rsid w:val="001A7535"/>
    <w:rsid w:val="001B19CE"/>
    <w:rsid w:val="001B3078"/>
    <w:rsid w:val="001B3E11"/>
    <w:rsid w:val="001B4A70"/>
    <w:rsid w:val="001B6EAE"/>
    <w:rsid w:val="001C0AF9"/>
    <w:rsid w:val="001C1E02"/>
    <w:rsid w:val="001C3B5B"/>
    <w:rsid w:val="001C5193"/>
    <w:rsid w:val="001C7BC9"/>
    <w:rsid w:val="001D342B"/>
    <w:rsid w:val="001D5161"/>
    <w:rsid w:val="001D636F"/>
    <w:rsid w:val="001D773C"/>
    <w:rsid w:val="001E0B6B"/>
    <w:rsid w:val="001E1C77"/>
    <w:rsid w:val="001E2A24"/>
    <w:rsid w:val="001E3073"/>
    <w:rsid w:val="001E3B23"/>
    <w:rsid w:val="001E3C3B"/>
    <w:rsid w:val="001E3F8E"/>
    <w:rsid w:val="001E4333"/>
    <w:rsid w:val="001E7B74"/>
    <w:rsid w:val="001F371E"/>
    <w:rsid w:val="001F541B"/>
    <w:rsid w:val="001F5F83"/>
    <w:rsid w:val="001F6CB2"/>
    <w:rsid w:val="00200722"/>
    <w:rsid w:val="00200E8A"/>
    <w:rsid w:val="00201B35"/>
    <w:rsid w:val="00202766"/>
    <w:rsid w:val="00203C29"/>
    <w:rsid w:val="0020719A"/>
    <w:rsid w:val="002119E3"/>
    <w:rsid w:val="00211D49"/>
    <w:rsid w:val="0021400E"/>
    <w:rsid w:val="0021410F"/>
    <w:rsid w:val="00221ACF"/>
    <w:rsid w:val="00223CB4"/>
    <w:rsid w:val="002244C4"/>
    <w:rsid w:val="0022723F"/>
    <w:rsid w:val="0023015D"/>
    <w:rsid w:val="002301D4"/>
    <w:rsid w:val="002311ED"/>
    <w:rsid w:val="0023187B"/>
    <w:rsid w:val="002323BA"/>
    <w:rsid w:val="002325FA"/>
    <w:rsid w:val="00232E08"/>
    <w:rsid w:val="00233B09"/>
    <w:rsid w:val="0023541B"/>
    <w:rsid w:val="00236E4F"/>
    <w:rsid w:val="00240726"/>
    <w:rsid w:val="00241E71"/>
    <w:rsid w:val="00243780"/>
    <w:rsid w:val="00245192"/>
    <w:rsid w:val="00245A08"/>
    <w:rsid w:val="00245F9A"/>
    <w:rsid w:val="00246F77"/>
    <w:rsid w:val="002508F2"/>
    <w:rsid w:val="00251B4B"/>
    <w:rsid w:val="0025222D"/>
    <w:rsid w:val="00252E22"/>
    <w:rsid w:val="00255ED3"/>
    <w:rsid w:val="00257513"/>
    <w:rsid w:val="0026120D"/>
    <w:rsid w:val="0026331E"/>
    <w:rsid w:val="0026513B"/>
    <w:rsid w:val="00266109"/>
    <w:rsid w:val="00267106"/>
    <w:rsid w:val="002677B9"/>
    <w:rsid w:val="00272B07"/>
    <w:rsid w:val="002743AF"/>
    <w:rsid w:val="0027455E"/>
    <w:rsid w:val="002752A0"/>
    <w:rsid w:val="002752F4"/>
    <w:rsid w:val="00276AB7"/>
    <w:rsid w:val="0028180D"/>
    <w:rsid w:val="00281CB1"/>
    <w:rsid w:val="002824EE"/>
    <w:rsid w:val="00282CE9"/>
    <w:rsid w:val="00283426"/>
    <w:rsid w:val="0028434E"/>
    <w:rsid w:val="002864A5"/>
    <w:rsid w:val="00293CDA"/>
    <w:rsid w:val="00294672"/>
    <w:rsid w:val="0029600C"/>
    <w:rsid w:val="002A169C"/>
    <w:rsid w:val="002A1A67"/>
    <w:rsid w:val="002A1EFD"/>
    <w:rsid w:val="002A4D98"/>
    <w:rsid w:val="002B2A82"/>
    <w:rsid w:val="002B3F2B"/>
    <w:rsid w:val="002B4CBD"/>
    <w:rsid w:val="002B5DF0"/>
    <w:rsid w:val="002B5E44"/>
    <w:rsid w:val="002C0348"/>
    <w:rsid w:val="002C07F4"/>
    <w:rsid w:val="002C125A"/>
    <w:rsid w:val="002C5855"/>
    <w:rsid w:val="002C7775"/>
    <w:rsid w:val="002D0703"/>
    <w:rsid w:val="002D0DA7"/>
    <w:rsid w:val="002D0FE4"/>
    <w:rsid w:val="002D27EC"/>
    <w:rsid w:val="002D4913"/>
    <w:rsid w:val="002D5267"/>
    <w:rsid w:val="002D7DCD"/>
    <w:rsid w:val="002E0116"/>
    <w:rsid w:val="002E1954"/>
    <w:rsid w:val="002E2732"/>
    <w:rsid w:val="002E2836"/>
    <w:rsid w:val="002E5600"/>
    <w:rsid w:val="002E72F4"/>
    <w:rsid w:val="002E7B33"/>
    <w:rsid w:val="002F07F6"/>
    <w:rsid w:val="002F176A"/>
    <w:rsid w:val="002F589D"/>
    <w:rsid w:val="002F5E68"/>
    <w:rsid w:val="00301320"/>
    <w:rsid w:val="00302B3F"/>
    <w:rsid w:val="00305FAE"/>
    <w:rsid w:val="00306B2B"/>
    <w:rsid w:val="00313DFA"/>
    <w:rsid w:val="00313EC5"/>
    <w:rsid w:val="003169B3"/>
    <w:rsid w:val="003171AD"/>
    <w:rsid w:val="0031775C"/>
    <w:rsid w:val="0032216D"/>
    <w:rsid w:val="00323DFB"/>
    <w:rsid w:val="00327A20"/>
    <w:rsid w:val="00330FFC"/>
    <w:rsid w:val="003310C9"/>
    <w:rsid w:val="003332B6"/>
    <w:rsid w:val="00335022"/>
    <w:rsid w:val="0033506D"/>
    <w:rsid w:val="003350C7"/>
    <w:rsid w:val="0033636E"/>
    <w:rsid w:val="00336864"/>
    <w:rsid w:val="003369E6"/>
    <w:rsid w:val="00337390"/>
    <w:rsid w:val="00337B53"/>
    <w:rsid w:val="00340384"/>
    <w:rsid w:val="0034048C"/>
    <w:rsid w:val="00340F4E"/>
    <w:rsid w:val="00341AB0"/>
    <w:rsid w:val="003424AE"/>
    <w:rsid w:val="00343159"/>
    <w:rsid w:val="00343942"/>
    <w:rsid w:val="0034412E"/>
    <w:rsid w:val="003461F3"/>
    <w:rsid w:val="0034632C"/>
    <w:rsid w:val="00347A18"/>
    <w:rsid w:val="00350132"/>
    <w:rsid w:val="00351EE7"/>
    <w:rsid w:val="0035265F"/>
    <w:rsid w:val="003535BF"/>
    <w:rsid w:val="00361942"/>
    <w:rsid w:val="003627DA"/>
    <w:rsid w:val="003649F1"/>
    <w:rsid w:val="00364A84"/>
    <w:rsid w:val="003661C7"/>
    <w:rsid w:val="003666D4"/>
    <w:rsid w:val="00370ABE"/>
    <w:rsid w:val="00370BF6"/>
    <w:rsid w:val="00372298"/>
    <w:rsid w:val="0037286F"/>
    <w:rsid w:val="00372B56"/>
    <w:rsid w:val="00374768"/>
    <w:rsid w:val="00375438"/>
    <w:rsid w:val="00377029"/>
    <w:rsid w:val="00380383"/>
    <w:rsid w:val="00381F05"/>
    <w:rsid w:val="003861CC"/>
    <w:rsid w:val="00386E4E"/>
    <w:rsid w:val="0039021C"/>
    <w:rsid w:val="00390A5C"/>
    <w:rsid w:val="0039324A"/>
    <w:rsid w:val="0039579F"/>
    <w:rsid w:val="0039602F"/>
    <w:rsid w:val="00396B20"/>
    <w:rsid w:val="003A09C2"/>
    <w:rsid w:val="003A10BE"/>
    <w:rsid w:val="003A1AD7"/>
    <w:rsid w:val="003A3E9B"/>
    <w:rsid w:val="003A3FB1"/>
    <w:rsid w:val="003A43E8"/>
    <w:rsid w:val="003B1379"/>
    <w:rsid w:val="003B24D6"/>
    <w:rsid w:val="003B4BD3"/>
    <w:rsid w:val="003C15D2"/>
    <w:rsid w:val="003C4792"/>
    <w:rsid w:val="003D0269"/>
    <w:rsid w:val="003D2DA2"/>
    <w:rsid w:val="003D31AF"/>
    <w:rsid w:val="003D353A"/>
    <w:rsid w:val="003D373F"/>
    <w:rsid w:val="003E2D7A"/>
    <w:rsid w:val="003E4BEF"/>
    <w:rsid w:val="003E5830"/>
    <w:rsid w:val="003E5838"/>
    <w:rsid w:val="003E60C5"/>
    <w:rsid w:val="003F0077"/>
    <w:rsid w:val="003F4BB2"/>
    <w:rsid w:val="003F5BF4"/>
    <w:rsid w:val="003F6736"/>
    <w:rsid w:val="003F6B2D"/>
    <w:rsid w:val="00401810"/>
    <w:rsid w:val="00406952"/>
    <w:rsid w:val="00410002"/>
    <w:rsid w:val="004124D8"/>
    <w:rsid w:val="00412D2C"/>
    <w:rsid w:val="004141DB"/>
    <w:rsid w:val="004164A2"/>
    <w:rsid w:val="004173A2"/>
    <w:rsid w:val="00420D00"/>
    <w:rsid w:val="0042186F"/>
    <w:rsid w:val="00424E1F"/>
    <w:rsid w:val="00425FAC"/>
    <w:rsid w:val="004261E7"/>
    <w:rsid w:val="00433328"/>
    <w:rsid w:val="00436658"/>
    <w:rsid w:val="00437E15"/>
    <w:rsid w:val="0044155B"/>
    <w:rsid w:val="00441981"/>
    <w:rsid w:val="00445369"/>
    <w:rsid w:val="00445443"/>
    <w:rsid w:val="00452B12"/>
    <w:rsid w:val="00452B28"/>
    <w:rsid w:val="00455829"/>
    <w:rsid w:val="00456631"/>
    <w:rsid w:val="00461596"/>
    <w:rsid w:val="00461E27"/>
    <w:rsid w:val="0046539C"/>
    <w:rsid w:val="0046651A"/>
    <w:rsid w:val="0046774E"/>
    <w:rsid w:val="0047097D"/>
    <w:rsid w:val="004718E2"/>
    <w:rsid w:val="00473FB9"/>
    <w:rsid w:val="00474AD1"/>
    <w:rsid w:val="00475D04"/>
    <w:rsid w:val="00480178"/>
    <w:rsid w:val="004806EE"/>
    <w:rsid w:val="004829DF"/>
    <w:rsid w:val="00482F1C"/>
    <w:rsid w:val="0048511C"/>
    <w:rsid w:val="00486810"/>
    <w:rsid w:val="0048682C"/>
    <w:rsid w:val="00487215"/>
    <w:rsid w:val="0048745A"/>
    <w:rsid w:val="00494F0D"/>
    <w:rsid w:val="0049560D"/>
    <w:rsid w:val="004A043D"/>
    <w:rsid w:val="004A736C"/>
    <w:rsid w:val="004A7760"/>
    <w:rsid w:val="004A78A1"/>
    <w:rsid w:val="004B0F3E"/>
    <w:rsid w:val="004B18EB"/>
    <w:rsid w:val="004B31EF"/>
    <w:rsid w:val="004B6BA7"/>
    <w:rsid w:val="004C0488"/>
    <w:rsid w:val="004C120E"/>
    <w:rsid w:val="004C4651"/>
    <w:rsid w:val="004C716D"/>
    <w:rsid w:val="004C71BE"/>
    <w:rsid w:val="004D0CAB"/>
    <w:rsid w:val="004D2517"/>
    <w:rsid w:val="004D563B"/>
    <w:rsid w:val="004D7DF5"/>
    <w:rsid w:val="004E5B4E"/>
    <w:rsid w:val="004E60E2"/>
    <w:rsid w:val="004E6BDF"/>
    <w:rsid w:val="004F0B98"/>
    <w:rsid w:val="004F0C0F"/>
    <w:rsid w:val="004F2099"/>
    <w:rsid w:val="004F2BB2"/>
    <w:rsid w:val="004F3E72"/>
    <w:rsid w:val="004F41AB"/>
    <w:rsid w:val="004F75CA"/>
    <w:rsid w:val="00501CAF"/>
    <w:rsid w:val="00501D60"/>
    <w:rsid w:val="00502563"/>
    <w:rsid w:val="005059A9"/>
    <w:rsid w:val="00505BA7"/>
    <w:rsid w:val="00512DF1"/>
    <w:rsid w:val="00514EDE"/>
    <w:rsid w:val="00517E65"/>
    <w:rsid w:val="0052035B"/>
    <w:rsid w:val="005212AE"/>
    <w:rsid w:val="0052153A"/>
    <w:rsid w:val="00523BA9"/>
    <w:rsid w:val="00523FB5"/>
    <w:rsid w:val="00524A3F"/>
    <w:rsid w:val="00526D3A"/>
    <w:rsid w:val="00530D08"/>
    <w:rsid w:val="00531659"/>
    <w:rsid w:val="005341C7"/>
    <w:rsid w:val="00540A9D"/>
    <w:rsid w:val="0054146B"/>
    <w:rsid w:val="00542069"/>
    <w:rsid w:val="005435CE"/>
    <w:rsid w:val="00543976"/>
    <w:rsid w:val="005472FB"/>
    <w:rsid w:val="00550546"/>
    <w:rsid w:val="005512CB"/>
    <w:rsid w:val="00551BA0"/>
    <w:rsid w:val="0055251A"/>
    <w:rsid w:val="00553221"/>
    <w:rsid w:val="00554611"/>
    <w:rsid w:val="005546EB"/>
    <w:rsid w:val="0055619A"/>
    <w:rsid w:val="00562501"/>
    <w:rsid w:val="00565828"/>
    <w:rsid w:val="00565C6B"/>
    <w:rsid w:val="00566888"/>
    <w:rsid w:val="005671D5"/>
    <w:rsid w:val="00571463"/>
    <w:rsid w:val="00571D8E"/>
    <w:rsid w:val="0057470D"/>
    <w:rsid w:val="00576311"/>
    <w:rsid w:val="00576486"/>
    <w:rsid w:val="005803D1"/>
    <w:rsid w:val="005809E8"/>
    <w:rsid w:val="00581A1F"/>
    <w:rsid w:val="00582300"/>
    <w:rsid w:val="005839C3"/>
    <w:rsid w:val="00586589"/>
    <w:rsid w:val="00586D24"/>
    <w:rsid w:val="0058787F"/>
    <w:rsid w:val="00592F70"/>
    <w:rsid w:val="005979FB"/>
    <w:rsid w:val="005A1614"/>
    <w:rsid w:val="005A1C8B"/>
    <w:rsid w:val="005A5179"/>
    <w:rsid w:val="005A7D06"/>
    <w:rsid w:val="005B0EE6"/>
    <w:rsid w:val="005B397F"/>
    <w:rsid w:val="005B5CAC"/>
    <w:rsid w:val="005C0E6F"/>
    <w:rsid w:val="005C170B"/>
    <w:rsid w:val="005C2972"/>
    <w:rsid w:val="005C3B32"/>
    <w:rsid w:val="005C4193"/>
    <w:rsid w:val="005C5227"/>
    <w:rsid w:val="005C53CF"/>
    <w:rsid w:val="005C6783"/>
    <w:rsid w:val="005C6DB4"/>
    <w:rsid w:val="005C7E64"/>
    <w:rsid w:val="005C7ED8"/>
    <w:rsid w:val="005D033F"/>
    <w:rsid w:val="005D2DF2"/>
    <w:rsid w:val="005D4403"/>
    <w:rsid w:val="005D7961"/>
    <w:rsid w:val="005E00DD"/>
    <w:rsid w:val="005E064C"/>
    <w:rsid w:val="005E1308"/>
    <w:rsid w:val="005E130D"/>
    <w:rsid w:val="005E41B4"/>
    <w:rsid w:val="005E46B9"/>
    <w:rsid w:val="005E59CF"/>
    <w:rsid w:val="005E7AC4"/>
    <w:rsid w:val="005F0F84"/>
    <w:rsid w:val="005F178A"/>
    <w:rsid w:val="005F18AF"/>
    <w:rsid w:val="005F1DDE"/>
    <w:rsid w:val="005F1E03"/>
    <w:rsid w:val="005F2C2B"/>
    <w:rsid w:val="005F4148"/>
    <w:rsid w:val="005F449E"/>
    <w:rsid w:val="005F6980"/>
    <w:rsid w:val="0060200A"/>
    <w:rsid w:val="006021AF"/>
    <w:rsid w:val="00602AEC"/>
    <w:rsid w:val="0060300C"/>
    <w:rsid w:val="0060526D"/>
    <w:rsid w:val="006057A0"/>
    <w:rsid w:val="006059C1"/>
    <w:rsid w:val="00605E27"/>
    <w:rsid w:val="00606525"/>
    <w:rsid w:val="006067A9"/>
    <w:rsid w:val="00607D20"/>
    <w:rsid w:val="006108E9"/>
    <w:rsid w:val="0061237D"/>
    <w:rsid w:val="00612919"/>
    <w:rsid w:val="00613B0B"/>
    <w:rsid w:val="006167E0"/>
    <w:rsid w:val="00616CE5"/>
    <w:rsid w:val="00620BED"/>
    <w:rsid w:val="00621FC2"/>
    <w:rsid w:val="00622F07"/>
    <w:rsid w:val="00624B0B"/>
    <w:rsid w:val="0063289E"/>
    <w:rsid w:val="00634091"/>
    <w:rsid w:val="00635E10"/>
    <w:rsid w:val="006370A8"/>
    <w:rsid w:val="0064400A"/>
    <w:rsid w:val="0064493A"/>
    <w:rsid w:val="0064615E"/>
    <w:rsid w:val="00646EA4"/>
    <w:rsid w:val="00646EE0"/>
    <w:rsid w:val="006500F1"/>
    <w:rsid w:val="006504FF"/>
    <w:rsid w:val="00654318"/>
    <w:rsid w:val="00665870"/>
    <w:rsid w:val="006659EF"/>
    <w:rsid w:val="00665BF6"/>
    <w:rsid w:val="00671227"/>
    <w:rsid w:val="00672CBC"/>
    <w:rsid w:val="0067340E"/>
    <w:rsid w:val="006740D8"/>
    <w:rsid w:val="006750AE"/>
    <w:rsid w:val="00675874"/>
    <w:rsid w:val="00675B89"/>
    <w:rsid w:val="006809FF"/>
    <w:rsid w:val="00680B07"/>
    <w:rsid w:val="0068110D"/>
    <w:rsid w:val="006812E2"/>
    <w:rsid w:val="0068201A"/>
    <w:rsid w:val="00682A3F"/>
    <w:rsid w:val="00683D22"/>
    <w:rsid w:val="00687DCE"/>
    <w:rsid w:val="00690F7C"/>
    <w:rsid w:val="00691362"/>
    <w:rsid w:val="0069337E"/>
    <w:rsid w:val="00694643"/>
    <w:rsid w:val="00697FB1"/>
    <w:rsid w:val="006A242C"/>
    <w:rsid w:val="006A503F"/>
    <w:rsid w:val="006A5853"/>
    <w:rsid w:val="006B4912"/>
    <w:rsid w:val="006B4914"/>
    <w:rsid w:val="006B512A"/>
    <w:rsid w:val="006B5AD6"/>
    <w:rsid w:val="006B787E"/>
    <w:rsid w:val="006B7EE7"/>
    <w:rsid w:val="006C35B3"/>
    <w:rsid w:val="006C76CF"/>
    <w:rsid w:val="006D08D1"/>
    <w:rsid w:val="006D1017"/>
    <w:rsid w:val="006D19B3"/>
    <w:rsid w:val="006D23E8"/>
    <w:rsid w:val="006D45AA"/>
    <w:rsid w:val="006D4769"/>
    <w:rsid w:val="006D4C89"/>
    <w:rsid w:val="006D6981"/>
    <w:rsid w:val="006E039A"/>
    <w:rsid w:val="006E0C54"/>
    <w:rsid w:val="006E1FDB"/>
    <w:rsid w:val="006E5991"/>
    <w:rsid w:val="006F3663"/>
    <w:rsid w:val="006F519A"/>
    <w:rsid w:val="006F6361"/>
    <w:rsid w:val="007005BA"/>
    <w:rsid w:val="00700CB9"/>
    <w:rsid w:val="00701B42"/>
    <w:rsid w:val="0070297A"/>
    <w:rsid w:val="007037EA"/>
    <w:rsid w:val="0070384D"/>
    <w:rsid w:val="007060BE"/>
    <w:rsid w:val="00707D64"/>
    <w:rsid w:val="0071008E"/>
    <w:rsid w:val="00711E5F"/>
    <w:rsid w:val="00713D3A"/>
    <w:rsid w:val="007152F8"/>
    <w:rsid w:val="007167F0"/>
    <w:rsid w:val="0071726C"/>
    <w:rsid w:val="0071765B"/>
    <w:rsid w:val="00717FCD"/>
    <w:rsid w:val="007224F2"/>
    <w:rsid w:val="00722562"/>
    <w:rsid w:val="00723B69"/>
    <w:rsid w:val="007245D2"/>
    <w:rsid w:val="00726CA9"/>
    <w:rsid w:val="00727DB0"/>
    <w:rsid w:val="00730170"/>
    <w:rsid w:val="0073164C"/>
    <w:rsid w:val="00733A36"/>
    <w:rsid w:val="00734C10"/>
    <w:rsid w:val="00740DE9"/>
    <w:rsid w:val="00740F44"/>
    <w:rsid w:val="00742AE2"/>
    <w:rsid w:val="007433D3"/>
    <w:rsid w:val="0074641B"/>
    <w:rsid w:val="00747E48"/>
    <w:rsid w:val="00756DFB"/>
    <w:rsid w:val="00757217"/>
    <w:rsid w:val="00757C8A"/>
    <w:rsid w:val="0076017D"/>
    <w:rsid w:val="00762193"/>
    <w:rsid w:val="00762B1B"/>
    <w:rsid w:val="007633A7"/>
    <w:rsid w:val="00764715"/>
    <w:rsid w:val="0076520E"/>
    <w:rsid w:val="0076526D"/>
    <w:rsid w:val="00772AD9"/>
    <w:rsid w:val="00774925"/>
    <w:rsid w:val="00775805"/>
    <w:rsid w:val="00777DBD"/>
    <w:rsid w:val="007812B2"/>
    <w:rsid w:val="00781B42"/>
    <w:rsid w:val="00782C2B"/>
    <w:rsid w:val="00785967"/>
    <w:rsid w:val="00790224"/>
    <w:rsid w:val="007915A2"/>
    <w:rsid w:val="00793826"/>
    <w:rsid w:val="00793B47"/>
    <w:rsid w:val="00795534"/>
    <w:rsid w:val="00795F21"/>
    <w:rsid w:val="007976C6"/>
    <w:rsid w:val="007A0B29"/>
    <w:rsid w:val="007A1749"/>
    <w:rsid w:val="007A1796"/>
    <w:rsid w:val="007A2C87"/>
    <w:rsid w:val="007A5E8E"/>
    <w:rsid w:val="007A6F06"/>
    <w:rsid w:val="007A7A90"/>
    <w:rsid w:val="007B1250"/>
    <w:rsid w:val="007B14C6"/>
    <w:rsid w:val="007B3988"/>
    <w:rsid w:val="007B3ACB"/>
    <w:rsid w:val="007B3B0A"/>
    <w:rsid w:val="007B553B"/>
    <w:rsid w:val="007B7090"/>
    <w:rsid w:val="007B7365"/>
    <w:rsid w:val="007B7BE3"/>
    <w:rsid w:val="007C2CBC"/>
    <w:rsid w:val="007C3BDB"/>
    <w:rsid w:val="007C7569"/>
    <w:rsid w:val="007D27E3"/>
    <w:rsid w:val="007D2A47"/>
    <w:rsid w:val="007D457D"/>
    <w:rsid w:val="007D5E9B"/>
    <w:rsid w:val="007D76D7"/>
    <w:rsid w:val="007D7D36"/>
    <w:rsid w:val="007E03A5"/>
    <w:rsid w:val="007E04AF"/>
    <w:rsid w:val="007E054C"/>
    <w:rsid w:val="007E13CE"/>
    <w:rsid w:val="007E1E82"/>
    <w:rsid w:val="007E3EB1"/>
    <w:rsid w:val="007E47CD"/>
    <w:rsid w:val="007E5BB9"/>
    <w:rsid w:val="007E6B8C"/>
    <w:rsid w:val="007E733D"/>
    <w:rsid w:val="007F12FC"/>
    <w:rsid w:val="007F35C8"/>
    <w:rsid w:val="007F3BDC"/>
    <w:rsid w:val="008011D2"/>
    <w:rsid w:val="008123CA"/>
    <w:rsid w:val="00813604"/>
    <w:rsid w:val="008144FD"/>
    <w:rsid w:val="0081481A"/>
    <w:rsid w:val="008149BB"/>
    <w:rsid w:val="00815739"/>
    <w:rsid w:val="008168E6"/>
    <w:rsid w:val="00817D10"/>
    <w:rsid w:val="00820A21"/>
    <w:rsid w:val="00824401"/>
    <w:rsid w:val="00825B30"/>
    <w:rsid w:val="00826920"/>
    <w:rsid w:val="00830742"/>
    <w:rsid w:val="00831260"/>
    <w:rsid w:val="00832E6D"/>
    <w:rsid w:val="00833165"/>
    <w:rsid w:val="00835171"/>
    <w:rsid w:val="00836941"/>
    <w:rsid w:val="00841914"/>
    <w:rsid w:val="00841D27"/>
    <w:rsid w:val="0084214C"/>
    <w:rsid w:val="00846373"/>
    <w:rsid w:val="00846678"/>
    <w:rsid w:val="00846B19"/>
    <w:rsid w:val="008475A0"/>
    <w:rsid w:val="00851983"/>
    <w:rsid w:val="00851DCD"/>
    <w:rsid w:val="00853814"/>
    <w:rsid w:val="008544D2"/>
    <w:rsid w:val="00854F5F"/>
    <w:rsid w:val="0085534C"/>
    <w:rsid w:val="00855C3D"/>
    <w:rsid w:val="0085606B"/>
    <w:rsid w:val="00856422"/>
    <w:rsid w:val="00856806"/>
    <w:rsid w:val="008621B7"/>
    <w:rsid w:val="0086400F"/>
    <w:rsid w:val="00864B03"/>
    <w:rsid w:val="008706D5"/>
    <w:rsid w:val="008713FF"/>
    <w:rsid w:val="00872D0D"/>
    <w:rsid w:val="00876C8B"/>
    <w:rsid w:val="00882F96"/>
    <w:rsid w:val="0088625E"/>
    <w:rsid w:val="00887FA0"/>
    <w:rsid w:val="00890819"/>
    <w:rsid w:val="008924B7"/>
    <w:rsid w:val="00892ACB"/>
    <w:rsid w:val="00892BAA"/>
    <w:rsid w:val="00893232"/>
    <w:rsid w:val="00894FF4"/>
    <w:rsid w:val="00895679"/>
    <w:rsid w:val="008A1778"/>
    <w:rsid w:val="008A39BF"/>
    <w:rsid w:val="008A3E30"/>
    <w:rsid w:val="008A4CD0"/>
    <w:rsid w:val="008A72CB"/>
    <w:rsid w:val="008B0438"/>
    <w:rsid w:val="008B0A1F"/>
    <w:rsid w:val="008B0BBC"/>
    <w:rsid w:val="008B2BB3"/>
    <w:rsid w:val="008B3027"/>
    <w:rsid w:val="008B39B3"/>
    <w:rsid w:val="008B5CAA"/>
    <w:rsid w:val="008B6365"/>
    <w:rsid w:val="008C0ACD"/>
    <w:rsid w:val="008C1F34"/>
    <w:rsid w:val="008C3E7F"/>
    <w:rsid w:val="008C4136"/>
    <w:rsid w:val="008C5E8F"/>
    <w:rsid w:val="008D016D"/>
    <w:rsid w:val="008D0CA6"/>
    <w:rsid w:val="008D4050"/>
    <w:rsid w:val="008D6291"/>
    <w:rsid w:val="008D73A9"/>
    <w:rsid w:val="008E2A41"/>
    <w:rsid w:val="008E2F11"/>
    <w:rsid w:val="008E3536"/>
    <w:rsid w:val="008F15CE"/>
    <w:rsid w:val="008F3D79"/>
    <w:rsid w:val="008F3D8D"/>
    <w:rsid w:val="008F675F"/>
    <w:rsid w:val="008F7C8D"/>
    <w:rsid w:val="00902112"/>
    <w:rsid w:val="00903356"/>
    <w:rsid w:val="009035B7"/>
    <w:rsid w:val="00905E5D"/>
    <w:rsid w:val="00907A15"/>
    <w:rsid w:val="00911930"/>
    <w:rsid w:val="00913905"/>
    <w:rsid w:val="00913D05"/>
    <w:rsid w:val="00914702"/>
    <w:rsid w:val="00915682"/>
    <w:rsid w:val="00921D31"/>
    <w:rsid w:val="0092363A"/>
    <w:rsid w:val="00923879"/>
    <w:rsid w:val="009249B5"/>
    <w:rsid w:val="009277F5"/>
    <w:rsid w:val="00927BDE"/>
    <w:rsid w:val="00930284"/>
    <w:rsid w:val="009315A0"/>
    <w:rsid w:val="00931E91"/>
    <w:rsid w:val="009321C9"/>
    <w:rsid w:val="00932F15"/>
    <w:rsid w:val="0093362A"/>
    <w:rsid w:val="00937644"/>
    <w:rsid w:val="009378AC"/>
    <w:rsid w:val="009407EF"/>
    <w:rsid w:val="0094259C"/>
    <w:rsid w:val="00942761"/>
    <w:rsid w:val="00942C90"/>
    <w:rsid w:val="00943F55"/>
    <w:rsid w:val="00944CFE"/>
    <w:rsid w:val="00946472"/>
    <w:rsid w:val="0095047B"/>
    <w:rsid w:val="00950E03"/>
    <w:rsid w:val="009546A3"/>
    <w:rsid w:val="00954D98"/>
    <w:rsid w:val="00955ED8"/>
    <w:rsid w:val="00957A08"/>
    <w:rsid w:val="00960450"/>
    <w:rsid w:val="009613F1"/>
    <w:rsid w:val="009624DB"/>
    <w:rsid w:val="009654D2"/>
    <w:rsid w:val="00966159"/>
    <w:rsid w:val="009662AF"/>
    <w:rsid w:val="0096634B"/>
    <w:rsid w:val="0096657D"/>
    <w:rsid w:val="00967529"/>
    <w:rsid w:val="0097007C"/>
    <w:rsid w:val="009701A5"/>
    <w:rsid w:val="00970250"/>
    <w:rsid w:val="0097034A"/>
    <w:rsid w:val="009737AF"/>
    <w:rsid w:val="00973F8E"/>
    <w:rsid w:val="009740F5"/>
    <w:rsid w:val="00977441"/>
    <w:rsid w:val="0098185C"/>
    <w:rsid w:val="009850A5"/>
    <w:rsid w:val="00986F37"/>
    <w:rsid w:val="009955BE"/>
    <w:rsid w:val="009976D2"/>
    <w:rsid w:val="009A0351"/>
    <w:rsid w:val="009A0CB6"/>
    <w:rsid w:val="009A167F"/>
    <w:rsid w:val="009A2D9C"/>
    <w:rsid w:val="009A3336"/>
    <w:rsid w:val="009A34DF"/>
    <w:rsid w:val="009A481F"/>
    <w:rsid w:val="009A4A7F"/>
    <w:rsid w:val="009B1CEB"/>
    <w:rsid w:val="009B232A"/>
    <w:rsid w:val="009B28D9"/>
    <w:rsid w:val="009B4F7E"/>
    <w:rsid w:val="009B690F"/>
    <w:rsid w:val="009C08BF"/>
    <w:rsid w:val="009C37AF"/>
    <w:rsid w:val="009C44EB"/>
    <w:rsid w:val="009C5100"/>
    <w:rsid w:val="009C7AC3"/>
    <w:rsid w:val="009D21A1"/>
    <w:rsid w:val="009D21A2"/>
    <w:rsid w:val="009D4128"/>
    <w:rsid w:val="009D4FC9"/>
    <w:rsid w:val="009E1A98"/>
    <w:rsid w:val="009E23AC"/>
    <w:rsid w:val="009E399A"/>
    <w:rsid w:val="009E64F2"/>
    <w:rsid w:val="009E6633"/>
    <w:rsid w:val="009F784C"/>
    <w:rsid w:val="00A00354"/>
    <w:rsid w:val="00A047E0"/>
    <w:rsid w:val="00A0535C"/>
    <w:rsid w:val="00A11657"/>
    <w:rsid w:val="00A11740"/>
    <w:rsid w:val="00A11A72"/>
    <w:rsid w:val="00A12A37"/>
    <w:rsid w:val="00A13A59"/>
    <w:rsid w:val="00A16FA8"/>
    <w:rsid w:val="00A23EDC"/>
    <w:rsid w:val="00A246CD"/>
    <w:rsid w:val="00A25446"/>
    <w:rsid w:val="00A2572C"/>
    <w:rsid w:val="00A26128"/>
    <w:rsid w:val="00A27EEB"/>
    <w:rsid w:val="00A32D7C"/>
    <w:rsid w:val="00A3687F"/>
    <w:rsid w:val="00A407B2"/>
    <w:rsid w:val="00A407C7"/>
    <w:rsid w:val="00A42080"/>
    <w:rsid w:val="00A4343A"/>
    <w:rsid w:val="00A438ED"/>
    <w:rsid w:val="00A4542F"/>
    <w:rsid w:val="00A46AD5"/>
    <w:rsid w:val="00A50CA9"/>
    <w:rsid w:val="00A50D70"/>
    <w:rsid w:val="00A50F5E"/>
    <w:rsid w:val="00A52508"/>
    <w:rsid w:val="00A54CD6"/>
    <w:rsid w:val="00A55296"/>
    <w:rsid w:val="00A55D0B"/>
    <w:rsid w:val="00A56F97"/>
    <w:rsid w:val="00A611D4"/>
    <w:rsid w:val="00A677B2"/>
    <w:rsid w:val="00A71691"/>
    <w:rsid w:val="00A718F3"/>
    <w:rsid w:val="00A724F4"/>
    <w:rsid w:val="00A72713"/>
    <w:rsid w:val="00A7330E"/>
    <w:rsid w:val="00A7406A"/>
    <w:rsid w:val="00A757F2"/>
    <w:rsid w:val="00A7775F"/>
    <w:rsid w:val="00A81391"/>
    <w:rsid w:val="00A82873"/>
    <w:rsid w:val="00A85067"/>
    <w:rsid w:val="00A857C0"/>
    <w:rsid w:val="00A85D7B"/>
    <w:rsid w:val="00A91FD9"/>
    <w:rsid w:val="00A9226E"/>
    <w:rsid w:val="00A92E5F"/>
    <w:rsid w:val="00A95B53"/>
    <w:rsid w:val="00AA18E0"/>
    <w:rsid w:val="00AA2A8A"/>
    <w:rsid w:val="00AA7F65"/>
    <w:rsid w:val="00AB0F9C"/>
    <w:rsid w:val="00AB1223"/>
    <w:rsid w:val="00AB150A"/>
    <w:rsid w:val="00AB20ED"/>
    <w:rsid w:val="00AB2366"/>
    <w:rsid w:val="00AB2A06"/>
    <w:rsid w:val="00AB6072"/>
    <w:rsid w:val="00AC0DCB"/>
    <w:rsid w:val="00AC32B8"/>
    <w:rsid w:val="00AC334A"/>
    <w:rsid w:val="00AC35E5"/>
    <w:rsid w:val="00AC4F22"/>
    <w:rsid w:val="00AC7C45"/>
    <w:rsid w:val="00AD11D5"/>
    <w:rsid w:val="00AD3381"/>
    <w:rsid w:val="00AD42F5"/>
    <w:rsid w:val="00AD4BF8"/>
    <w:rsid w:val="00AD65F3"/>
    <w:rsid w:val="00AE0EA3"/>
    <w:rsid w:val="00AE1D00"/>
    <w:rsid w:val="00AE476C"/>
    <w:rsid w:val="00AE4DAA"/>
    <w:rsid w:val="00AE7546"/>
    <w:rsid w:val="00AF097E"/>
    <w:rsid w:val="00AF118D"/>
    <w:rsid w:val="00AF14D7"/>
    <w:rsid w:val="00AF4EB9"/>
    <w:rsid w:val="00AF5575"/>
    <w:rsid w:val="00AF621E"/>
    <w:rsid w:val="00AF701A"/>
    <w:rsid w:val="00B0125A"/>
    <w:rsid w:val="00B02473"/>
    <w:rsid w:val="00B0404C"/>
    <w:rsid w:val="00B04082"/>
    <w:rsid w:val="00B06D65"/>
    <w:rsid w:val="00B07A5B"/>
    <w:rsid w:val="00B07DDA"/>
    <w:rsid w:val="00B14600"/>
    <w:rsid w:val="00B146A6"/>
    <w:rsid w:val="00B15189"/>
    <w:rsid w:val="00B15925"/>
    <w:rsid w:val="00B16FF1"/>
    <w:rsid w:val="00B17538"/>
    <w:rsid w:val="00B21F40"/>
    <w:rsid w:val="00B22753"/>
    <w:rsid w:val="00B22A62"/>
    <w:rsid w:val="00B2364C"/>
    <w:rsid w:val="00B25CF4"/>
    <w:rsid w:val="00B301E0"/>
    <w:rsid w:val="00B302DD"/>
    <w:rsid w:val="00B3463C"/>
    <w:rsid w:val="00B347F1"/>
    <w:rsid w:val="00B34B9F"/>
    <w:rsid w:val="00B34DDB"/>
    <w:rsid w:val="00B35C14"/>
    <w:rsid w:val="00B420EF"/>
    <w:rsid w:val="00B43CA5"/>
    <w:rsid w:val="00B4420C"/>
    <w:rsid w:val="00B443C3"/>
    <w:rsid w:val="00B46D9A"/>
    <w:rsid w:val="00B52CD2"/>
    <w:rsid w:val="00B5496A"/>
    <w:rsid w:val="00B57229"/>
    <w:rsid w:val="00B577A0"/>
    <w:rsid w:val="00B57F70"/>
    <w:rsid w:val="00B604FD"/>
    <w:rsid w:val="00B6073D"/>
    <w:rsid w:val="00B63189"/>
    <w:rsid w:val="00B6681F"/>
    <w:rsid w:val="00B668C8"/>
    <w:rsid w:val="00B71B4B"/>
    <w:rsid w:val="00B74C6C"/>
    <w:rsid w:val="00B75350"/>
    <w:rsid w:val="00B75B22"/>
    <w:rsid w:val="00B76985"/>
    <w:rsid w:val="00B76A92"/>
    <w:rsid w:val="00B777F6"/>
    <w:rsid w:val="00B820CE"/>
    <w:rsid w:val="00B82131"/>
    <w:rsid w:val="00B829B5"/>
    <w:rsid w:val="00B8319F"/>
    <w:rsid w:val="00B834EE"/>
    <w:rsid w:val="00B835B4"/>
    <w:rsid w:val="00B858C4"/>
    <w:rsid w:val="00B85D31"/>
    <w:rsid w:val="00B900A2"/>
    <w:rsid w:val="00B90F57"/>
    <w:rsid w:val="00B92817"/>
    <w:rsid w:val="00B944B6"/>
    <w:rsid w:val="00B97080"/>
    <w:rsid w:val="00BA1ECC"/>
    <w:rsid w:val="00BA231B"/>
    <w:rsid w:val="00BA2899"/>
    <w:rsid w:val="00BA3C88"/>
    <w:rsid w:val="00BB03F6"/>
    <w:rsid w:val="00BB13C2"/>
    <w:rsid w:val="00BB4639"/>
    <w:rsid w:val="00BB46EF"/>
    <w:rsid w:val="00BC0ABF"/>
    <w:rsid w:val="00BC1B29"/>
    <w:rsid w:val="00BC3FF4"/>
    <w:rsid w:val="00BC43C4"/>
    <w:rsid w:val="00BC56C2"/>
    <w:rsid w:val="00BC5FC5"/>
    <w:rsid w:val="00BC67A8"/>
    <w:rsid w:val="00BD613F"/>
    <w:rsid w:val="00BD62EB"/>
    <w:rsid w:val="00BE17FF"/>
    <w:rsid w:val="00BE66C8"/>
    <w:rsid w:val="00BE6766"/>
    <w:rsid w:val="00BE699C"/>
    <w:rsid w:val="00C0015D"/>
    <w:rsid w:val="00C002BE"/>
    <w:rsid w:val="00C101E0"/>
    <w:rsid w:val="00C128A5"/>
    <w:rsid w:val="00C14C33"/>
    <w:rsid w:val="00C14C8C"/>
    <w:rsid w:val="00C1602B"/>
    <w:rsid w:val="00C169DB"/>
    <w:rsid w:val="00C173B7"/>
    <w:rsid w:val="00C214C6"/>
    <w:rsid w:val="00C21751"/>
    <w:rsid w:val="00C23744"/>
    <w:rsid w:val="00C25151"/>
    <w:rsid w:val="00C27196"/>
    <w:rsid w:val="00C31262"/>
    <w:rsid w:val="00C33532"/>
    <w:rsid w:val="00C34829"/>
    <w:rsid w:val="00C34DFB"/>
    <w:rsid w:val="00C40B07"/>
    <w:rsid w:val="00C42467"/>
    <w:rsid w:val="00C42A24"/>
    <w:rsid w:val="00C42B6E"/>
    <w:rsid w:val="00C43D07"/>
    <w:rsid w:val="00C44B8B"/>
    <w:rsid w:val="00C47E6F"/>
    <w:rsid w:val="00C5303F"/>
    <w:rsid w:val="00C554DF"/>
    <w:rsid w:val="00C5582C"/>
    <w:rsid w:val="00C561A4"/>
    <w:rsid w:val="00C60321"/>
    <w:rsid w:val="00C60A66"/>
    <w:rsid w:val="00C60BD8"/>
    <w:rsid w:val="00C631B7"/>
    <w:rsid w:val="00C63CF1"/>
    <w:rsid w:val="00C6490D"/>
    <w:rsid w:val="00C65359"/>
    <w:rsid w:val="00C657D5"/>
    <w:rsid w:val="00C66804"/>
    <w:rsid w:val="00C66DC0"/>
    <w:rsid w:val="00C7142A"/>
    <w:rsid w:val="00C7163F"/>
    <w:rsid w:val="00C71F20"/>
    <w:rsid w:val="00C72072"/>
    <w:rsid w:val="00C72B69"/>
    <w:rsid w:val="00C74CC8"/>
    <w:rsid w:val="00C833A4"/>
    <w:rsid w:val="00C848B8"/>
    <w:rsid w:val="00C869E9"/>
    <w:rsid w:val="00C917D3"/>
    <w:rsid w:val="00C91C65"/>
    <w:rsid w:val="00C9430A"/>
    <w:rsid w:val="00C955A9"/>
    <w:rsid w:val="00C964D1"/>
    <w:rsid w:val="00C973B3"/>
    <w:rsid w:val="00CA0426"/>
    <w:rsid w:val="00CA3C06"/>
    <w:rsid w:val="00CA3D52"/>
    <w:rsid w:val="00CA538D"/>
    <w:rsid w:val="00CB2BD4"/>
    <w:rsid w:val="00CB2F96"/>
    <w:rsid w:val="00CB4568"/>
    <w:rsid w:val="00CB67F6"/>
    <w:rsid w:val="00CB69BD"/>
    <w:rsid w:val="00CC1407"/>
    <w:rsid w:val="00CC14A3"/>
    <w:rsid w:val="00CC1C01"/>
    <w:rsid w:val="00CC2412"/>
    <w:rsid w:val="00CC430A"/>
    <w:rsid w:val="00CC4D9C"/>
    <w:rsid w:val="00CC5CE5"/>
    <w:rsid w:val="00CC5ED2"/>
    <w:rsid w:val="00CC67E4"/>
    <w:rsid w:val="00CD2DD0"/>
    <w:rsid w:val="00CD7168"/>
    <w:rsid w:val="00CD774D"/>
    <w:rsid w:val="00CD7914"/>
    <w:rsid w:val="00CE0955"/>
    <w:rsid w:val="00CE4EC8"/>
    <w:rsid w:val="00CE5E16"/>
    <w:rsid w:val="00CE79E1"/>
    <w:rsid w:val="00CF1FB4"/>
    <w:rsid w:val="00CF33D5"/>
    <w:rsid w:val="00CF36E8"/>
    <w:rsid w:val="00CF55E2"/>
    <w:rsid w:val="00CF6EB5"/>
    <w:rsid w:val="00D001E3"/>
    <w:rsid w:val="00D03702"/>
    <w:rsid w:val="00D04B97"/>
    <w:rsid w:val="00D067F2"/>
    <w:rsid w:val="00D06BB2"/>
    <w:rsid w:val="00D13149"/>
    <w:rsid w:val="00D13BC0"/>
    <w:rsid w:val="00D13F84"/>
    <w:rsid w:val="00D2431E"/>
    <w:rsid w:val="00D24B2B"/>
    <w:rsid w:val="00D27F3A"/>
    <w:rsid w:val="00D30D37"/>
    <w:rsid w:val="00D33484"/>
    <w:rsid w:val="00D34AA9"/>
    <w:rsid w:val="00D3678C"/>
    <w:rsid w:val="00D36905"/>
    <w:rsid w:val="00D36EEC"/>
    <w:rsid w:val="00D40A1F"/>
    <w:rsid w:val="00D40A2A"/>
    <w:rsid w:val="00D41DE1"/>
    <w:rsid w:val="00D4203D"/>
    <w:rsid w:val="00D4735E"/>
    <w:rsid w:val="00D511EE"/>
    <w:rsid w:val="00D51AEF"/>
    <w:rsid w:val="00D53BFC"/>
    <w:rsid w:val="00D54826"/>
    <w:rsid w:val="00D61CF0"/>
    <w:rsid w:val="00D627CE"/>
    <w:rsid w:val="00D63EA3"/>
    <w:rsid w:val="00D6417F"/>
    <w:rsid w:val="00D6456D"/>
    <w:rsid w:val="00D66422"/>
    <w:rsid w:val="00D66A0B"/>
    <w:rsid w:val="00D67A96"/>
    <w:rsid w:val="00D7019D"/>
    <w:rsid w:val="00D713A7"/>
    <w:rsid w:val="00D73FBE"/>
    <w:rsid w:val="00D74D52"/>
    <w:rsid w:val="00D76D2C"/>
    <w:rsid w:val="00D77FAE"/>
    <w:rsid w:val="00D8176C"/>
    <w:rsid w:val="00D82203"/>
    <w:rsid w:val="00D846E7"/>
    <w:rsid w:val="00D8752D"/>
    <w:rsid w:val="00D91385"/>
    <w:rsid w:val="00D91E8B"/>
    <w:rsid w:val="00D926F3"/>
    <w:rsid w:val="00D92E6C"/>
    <w:rsid w:val="00D93D82"/>
    <w:rsid w:val="00D943EF"/>
    <w:rsid w:val="00D9564A"/>
    <w:rsid w:val="00D95AAE"/>
    <w:rsid w:val="00DA401F"/>
    <w:rsid w:val="00DA4F15"/>
    <w:rsid w:val="00DA6AAE"/>
    <w:rsid w:val="00DA7B7C"/>
    <w:rsid w:val="00DB084F"/>
    <w:rsid w:val="00DB0E79"/>
    <w:rsid w:val="00DB135E"/>
    <w:rsid w:val="00DB3A1E"/>
    <w:rsid w:val="00DB3B6D"/>
    <w:rsid w:val="00DB6B35"/>
    <w:rsid w:val="00DC0B26"/>
    <w:rsid w:val="00DC1894"/>
    <w:rsid w:val="00DC44F2"/>
    <w:rsid w:val="00DC6A1F"/>
    <w:rsid w:val="00DC76FC"/>
    <w:rsid w:val="00DC7AD9"/>
    <w:rsid w:val="00DD1677"/>
    <w:rsid w:val="00DD3C65"/>
    <w:rsid w:val="00DD4AC4"/>
    <w:rsid w:val="00DD53D9"/>
    <w:rsid w:val="00DD6C79"/>
    <w:rsid w:val="00DD76F2"/>
    <w:rsid w:val="00DE043C"/>
    <w:rsid w:val="00DE0E58"/>
    <w:rsid w:val="00DE2CFE"/>
    <w:rsid w:val="00DE2EA3"/>
    <w:rsid w:val="00DE336B"/>
    <w:rsid w:val="00DE5B0F"/>
    <w:rsid w:val="00DE71B9"/>
    <w:rsid w:val="00DF1659"/>
    <w:rsid w:val="00DF3F05"/>
    <w:rsid w:val="00DF4D19"/>
    <w:rsid w:val="00DF7E8A"/>
    <w:rsid w:val="00E03F8F"/>
    <w:rsid w:val="00E0429F"/>
    <w:rsid w:val="00E06749"/>
    <w:rsid w:val="00E069E8"/>
    <w:rsid w:val="00E11530"/>
    <w:rsid w:val="00E12260"/>
    <w:rsid w:val="00E1276A"/>
    <w:rsid w:val="00E12B39"/>
    <w:rsid w:val="00E13B99"/>
    <w:rsid w:val="00E13DAA"/>
    <w:rsid w:val="00E1487A"/>
    <w:rsid w:val="00E204E3"/>
    <w:rsid w:val="00E24F67"/>
    <w:rsid w:val="00E26084"/>
    <w:rsid w:val="00E30993"/>
    <w:rsid w:val="00E36041"/>
    <w:rsid w:val="00E42150"/>
    <w:rsid w:val="00E42423"/>
    <w:rsid w:val="00E42E56"/>
    <w:rsid w:val="00E43F49"/>
    <w:rsid w:val="00E46380"/>
    <w:rsid w:val="00E46C59"/>
    <w:rsid w:val="00E50095"/>
    <w:rsid w:val="00E52F80"/>
    <w:rsid w:val="00E5436E"/>
    <w:rsid w:val="00E54462"/>
    <w:rsid w:val="00E5525F"/>
    <w:rsid w:val="00E5674F"/>
    <w:rsid w:val="00E56C67"/>
    <w:rsid w:val="00E61376"/>
    <w:rsid w:val="00E63B09"/>
    <w:rsid w:val="00E65B41"/>
    <w:rsid w:val="00E65DEF"/>
    <w:rsid w:val="00E660F8"/>
    <w:rsid w:val="00E663A2"/>
    <w:rsid w:val="00E70518"/>
    <w:rsid w:val="00E729B8"/>
    <w:rsid w:val="00E72EF4"/>
    <w:rsid w:val="00E73AAB"/>
    <w:rsid w:val="00E76369"/>
    <w:rsid w:val="00E8006E"/>
    <w:rsid w:val="00E801F3"/>
    <w:rsid w:val="00E801F6"/>
    <w:rsid w:val="00E83711"/>
    <w:rsid w:val="00E86BB8"/>
    <w:rsid w:val="00E91773"/>
    <w:rsid w:val="00E91BB0"/>
    <w:rsid w:val="00E94F22"/>
    <w:rsid w:val="00E966C5"/>
    <w:rsid w:val="00E96FBB"/>
    <w:rsid w:val="00EA04EE"/>
    <w:rsid w:val="00EA1932"/>
    <w:rsid w:val="00EA1E40"/>
    <w:rsid w:val="00EA3A78"/>
    <w:rsid w:val="00EA4E6C"/>
    <w:rsid w:val="00EA5BB0"/>
    <w:rsid w:val="00EA6161"/>
    <w:rsid w:val="00EA6D28"/>
    <w:rsid w:val="00EB3E05"/>
    <w:rsid w:val="00EC17BA"/>
    <w:rsid w:val="00EC2929"/>
    <w:rsid w:val="00EC301A"/>
    <w:rsid w:val="00EC329D"/>
    <w:rsid w:val="00EC5D1D"/>
    <w:rsid w:val="00EC6720"/>
    <w:rsid w:val="00EC6C4A"/>
    <w:rsid w:val="00ED04E8"/>
    <w:rsid w:val="00ED08B2"/>
    <w:rsid w:val="00ED0D99"/>
    <w:rsid w:val="00ED126D"/>
    <w:rsid w:val="00EE130E"/>
    <w:rsid w:val="00EE16B3"/>
    <w:rsid w:val="00EE29EC"/>
    <w:rsid w:val="00EE3778"/>
    <w:rsid w:val="00EE47C7"/>
    <w:rsid w:val="00EE5B99"/>
    <w:rsid w:val="00EF176F"/>
    <w:rsid w:val="00EF1E11"/>
    <w:rsid w:val="00EF249E"/>
    <w:rsid w:val="00EF2B5E"/>
    <w:rsid w:val="00F00897"/>
    <w:rsid w:val="00F04746"/>
    <w:rsid w:val="00F067E2"/>
    <w:rsid w:val="00F06F31"/>
    <w:rsid w:val="00F074B7"/>
    <w:rsid w:val="00F10E22"/>
    <w:rsid w:val="00F12FFD"/>
    <w:rsid w:val="00F14F94"/>
    <w:rsid w:val="00F15786"/>
    <w:rsid w:val="00F16453"/>
    <w:rsid w:val="00F20CF9"/>
    <w:rsid w:val="00F217CB"/>
    <w:rsid w:val="00F21BE5"/>
    <w:rsid w:val="00F230D7"/>
    <w:rsid w:val="00F23558"/>
    <w:rsid w:val="00F24246"/>
    <w:rsid w:val="00F279CA"/>
    <w:rsid w:val="00F33129"/>
    <w:rsid w:val="00F4016E"/>
    <w:rsid w:val="00F41F59"/>
    <w:rsid w:val="00F41FB0"/>
    <w:rsid w:val="00F42055"/>
    <w:rsid w:val="00F4328E"/>
    <w:rsid w:val="00F44FEF"/>
    <w:rsid w:val="00F45EBD"/>
    <w:rsid w:val="00F46354"/>
    <w:rsid w:val="00F469C1"/>
    <w:rsid w:val="00F46E0A"/>
    <w:rsid w:val="00F471C5"/>
    <w:rsid w:val="00F50F4B"/>
    <w:rsid w:val="00F50F5A"/>
    <w:rsid w:val="00F5242E"/>
    <w:rsid w:val="00F53675"/>
    <w:rsid w:val="00F545B7"/>
    <w:rsid w:val="00F60776"/>
    <w:rsid w:val="00F612B5"/>
    <w:rsid w:val="00F661AE"/>
    <w:rsid w:val="00F66366"/>
    <w:rsid w:val="00F6708B"/>
    <w:rsid w:val="00F67FA6"/>
    <w:rsid w:val="00F73BDF"/>
    <w:rsid w:val="00F75B14"/>
    <w:rsid w:val="00F76112"/>
    <w:rsid w:val="00F76DB1"/>
    <w:rsid w:val="00F77D23"/>
    <w:rsid w:val="00F81E97"/>
    <w:rsid w:val="00F82F48"/>
    <w:rsid w:val="00F84EC7"/>
    <w:rsid w:val="00F86DE9"/>
    <w:rsid w:val="00F86E79"/>
    <w:rsid w:val="00F9181A"/>
    <w:rsid w:val="00F92058"/>
    <w:rsid w:val="00F93FFD"/>
    <w:rsid w:val="00F956F1"/>
    <w:rsid w:val="00F959F2"/>
    <w:rsid w:val="00FA4816"/>
    <w:rsid w:val="00FA5ED6"/>
    <w:rsid w:val="00FA6A91"/>
    <w:rsid w:val="00FA7A57"/>
    <w:rsid w:val="00FB03F4"/>
    <w:rsid w:val="00FB15E6"/>
    <w:rsid w:val="00FB191A"/>
    <w:rsid w:val="00FB1966"/>
    <w:rsid w:val="00FB1EB9"/>
    <w:rsid w:val="00FB65E0"/>
    <w:rsid w:val="00FC02E7"/>
    <w:rsid w:val="00FC4180"/>
    <w:rsid w:val="00FC5750"/>
    <w:rsid w:val="00FC7DCA"/>
    <w:rsid w:val="00FD17FC"/>
    <w:rsid w:val="00FD5052"/>
    <w:rsid w:val="00FD5959"/>
    <w:rsid w:val="00FD5B4C"/>
    <w:rsid w:val="00FD743B"/>
    <w:rsid w:val="00FD75A1"/>
    <w:rsid w:val="00FE254B"/>
    <w:rsid w:val="00FE29E3"/>
    <w:rsid w:val="00FE42C1"/>
    <w:rsid w:val="00FE45BC"/>
    <w:rsid w:val="00FE76BE"/>
    <w:rsid w:val="00FF0C0E"/>
    <w:rsid w:val="00FF34D5"/>
    <w:rsid w:val="00FF7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9C3"/>
    <w:rPr>
      <w:sz w:val="28"/>
      <w:szCs w:val="24"/>
      <w:lang w:val="uk-UA"/>
    </w:rPr>
  </w:style>
  <w:style w:type="paragraph" w:styleId="1">
    <w:name w:val="heading 1"/>
    <w:basedOn w:val="a"/>
    <w:next w:val="a"/>
    <w:qFormat/>
    <w:rsid w:val="005839C3"/>
    <w:pPr>
      <w:keepNext/>
      <w:jc w:val="center"/>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839C3"/>
    <w:pPr>
      <w:tabs>
        <w:tab w:val="center" w:pos="4153"/>
        <w:tab w:val="right" w:pos="8306"/>
      </w:tabs>
    </w:pPr>
  </w:style>
  <w:style w:type="paragraph" w:styleId="a4">
    <w:name w:val="footer"/>
    <w:basedOn w:val="a"/>
    <w:rsid w:val="005839C3"/>
    <w:pPr>
      <w:tabs>
        <w:tab w:val="center" w:pos="4153"/>
        <w:tab w:val="right" w:pos="8306"/>
      </w:tabs>
    </w:pPr>
  </w:style>
  <w:style w:type="paragraph" w:styleId="a5">
    <w:name w:val="Body Text"/>
    <w:basedOn w:val="a"/>
    <w:link w:val="a6"/>
    <w:rsid w:val="005839C3"/>
    <w:pPr>
      <w:jc w:val="both"/>
    </w:pPr>
  </w:style>
  <w:style w:type="paragraph" w:styleId="a7">
    <w:name w:val="Title"/>
    <w:basedOn w:val="a"/>
    <w:qFormat/>
    <w:rsid w:val="005839C3"/>
    <w:pPr>
      <w:jc w:val="center"/>
    </w:pPr>
    <w:rPr>
      <w:b/>
      <w:bCs/>
    </w:rPr>
  </w:style>
  <w:style w:type="character" w:styleId="a8">
    <w:name w:val="page number"/>
    <w:basedOn w:val="a0"/>
    <w:rsid w:val="005839C3"/>
  </w:style>
  <w:style w:type="paragraph" w:styleId="a9">
    <w:name w:val="Balloon Text"/>
    <w:basedOn w:val="a"/>
    <w:semiHidden/>
    <w:rsid w:val="00BC67A8"/>
    <w:rPr>
      <w:rFonts w:ascii="Tahoma" w:hAnsi="Tahoma" w:cs="Tahoma"/>
      <w:sz w:val="16"/>
      <w:szCs w:val="16"/>
    </w:rPr>
  </w:style>
  <w:style w:type="character" w:customStyle="1" w:styleId="FontStyle">
    <w:name w:val="Font Style"/>
    <w:rsid w:val="00BC67A8"/>
    <w:rPr>
      <w:rFonts w:cs="Courier New"/>
      <w:color w:val="000000"/>
      <w:sz w:val="20"/>
      <w:szCs w:val="20"/>
    </w:rPr>
  </w:style>
  <w:style w:type="character" w:customStyle="1" w:styleId="a6">
    <w:name w:val="Основной текст Знак"/>
    <w:link w:val="a5"/>
    <w:rsid w:val="004F75CA"/>
    <w:rPr>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39C3"/>
    <w:rPr>
      <w:sz w:val="28"/>
      <w:szCs w:val="24"/>
      <w:lang w:val="uk-UA"/>
    </w:rPr>
  </w:style>
  <w:style w:type="paragraph" w:styleId="1">
    <w:name w:val="heading 1"/>
    <w:basedOn w:val="a"/>
    <w:next w:val="a"/>
    <w:qFormat/>
    <w:rsid w:val="005839C3"/>
    <w:pPr>
      <w:keepNext/>
      <w:jc w:val="center"/>
      <w:outlineLvl w:val="0"/>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839C3"/>
    <w:pPr>
      <w:tabs>
        <w:tab w:val="center" w:pos="4153"/>
        <w:tab w:val="right" w:pos="8306"/>
      </w:tabs>
    </w:pPr>
  </w:style>
  <w:style w:type="paragraph" w:styleId="a4">
    <w:name w:val="footer"/>
    <w:basedOn w:val="a"/>
    <w:rsid w:val="005839C3"/>
    <w:pPr>
      <w:tabs>
        <w:tab w:val="center" w:pos="4153"/>
        <w:tab w:val="right" w:pos="8306"/>
      </w:tabs>
    </w:pPr>
  </w:style>
  <w:style w:type="paragraph" w:styleId="a5">
    <w:name w:val="Body Text"/>
    <w:basedOn w:val="a"/>
    <w:link w:val="a6"/>
    <w:rsid w:val="005839C3"/>
    <w:pPr>
      <w:jc w:val="both"/>
    </w:pPr>
  </w:style>
  <w:style w:type="paragraph" w:styleId="a7">
    <w:name w:val="Title"/>
    <w:basedOn w:val="a"/>
    <w:qFormat/>
    <w:rsid w:val="005839C3"/>
    <w:pPr>
      <w:jc w:val="center"/>
    </w:pPr>
    <w:rPr>
      <w:b/>
      <w:bCs/>
    </w:rPr>
  </w:style>
  <w:style w:type="character" w:styleId="a8">
    <w:name w:val="page number"/>
    <w:basedOn w:val="a0"/>
    <w:rsid w:val="005839C3"/>
  </w:style>
  <w:style w:type="paragraph" w:styleId="a9">
    <w:name w:val="Balloon Text"/>
    <w:basedOn w:val="a"/>
    <w:semiHidden/>
    <w:rsid w:val="00BC67A8"/>
    <w:rPr>
      <w:rFonts w:ascii="Tahoma" w:hAnsi="Tahoma" w:cs="Tahoma"/>
      <w:sz w:val="16"/>
      <w:szCs w:val="16"/>
    </w:rPr>
  </w:style>
  <w:style w:type="character" w:customStyle="1" w:styleId="FontStyle">
    <w:name w:val="Font Style"/>
    <w:rsid w:val="00BC67A8"/>
    <w:rPr>
      <w:rFonts w:cs="Courier New"/>
      <w:color w:val="000000"/>
      <w:sz w:val="20"/>
      <w:szCs w:val="20"/>
    </w:rPr>
  </w:style>
  <w:style w:type="character" w:customStyle="1" w:styleId="a6">
    <w:name w:val="Основной текст Знак"/>
    <w:link w:val="a5"/>
    <w:rsid w:val="004F75CA"/>
    <w:rPr>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64263">
      <w:bodyDiv w:val="1"/>
      <w:marLeft w:val="0"/>
      <w:marRight w:val="0"/>
      <w:marTop w:val="0"/>
      <w:marBottom w:val="0"/>
      <w:divBdr>
        <w:top w:val="none" w:sz="0" w:space="0" w:color="auto"/>
        <w:left w:val="none" w:sz="0" w:space="0" w:color="auto"/>
        <w:bottom w:val="none" w:sz="0" w:space="0" w:color="auto"/>
        <w:right w:val="none" w:sz="0" w:space="0" w:color="auto"/>
      </w:divBdr>
    </w:div>
    <w:div w:id="657002429">
      <w:bodyDiv w:val="1"/>
      <w:marLeft w:val="0"/>
      <w:marRight w:val="0"/>
      <w:marTop w:val="0"/>
      <w:marBottom w:val="0"/>
      <w:divBdr>
        <w:top w:val="none" w:sz="0" w:space="0" w:color="auto"/>
        <w:left w:val="none" w:sz="0" w:space="0" w:color="auto"/>
        <w:bottom w:val="none" w:sz="0" w:space="0" w:color="auto"/>
        <w:right w:val="none" w:sz="0" w:space="0" w:color="auto"/>
      </w:divBdr>
    </w:div>
    <w:div w:id="836192301">
      <w:bodyDiv w:val="1"/>
      <w:marLeft w:val="0"/>
      <w:marRight w:val="0"/>
      <w:marTop w:val="0"/>
      <w:marBottom w:val="0"/>
      <w:divBdr>
        <w:top w:val="none" w:sz="0" w:space="0" w:color="auto"/>
        <w:left w:val="none" w:sz="0" w:space="0" w:color="auto"/>
        <w:bottom w:val="none" w:sz="0" w:space="0" w:color="auto"/>
        <w:right w:val="none" w:sz="0" w:space="0" w:color="auto"/>
      </w:divBdr>
    </w:div>
    <w:div w:id="837038628">
      <w:bodyDiv w:val="1"/>
      <w:marLeft w:val="0"/>
      <w:marRight w:val="0"/>
      <w:marTop w:val="0"/>
      <w:marBottom w:val="0"/>
      <w:divBdr>
        <w:top w:val="none" w:sz="0" w:space="0" w:color="auto"/>
        <w:left w:val="none" w:sz="0" w:space="0" w:color="auto"/>
        <w:bottom w:val="none" w:sz="0" w:space="0" w:color="auto"/>
        <w:right w:val="none" w:sz="0" w:space="0" w:color="auto"/>
      </w:divBdr>
    </w:div>
    <w:div w:id="1725374198">
      <w:bodyDiv w:val="1"/>
      <w:marLeft w:val="0"/>
      <w:marRight w:val="0"/>
      <w:marTop w:val="0"/>
      <w:marBottom w:val="0"/>
      <w:divBdr>
        <w:top w:val="none" w:sz="0" w:space="0" w:color="auto"/>
        <w:left w:val="none" w:sz="0" w:space="0" w:color="auto"/>
        <w:bottom w:val="none" w:sz="0" w:space="0" w:color="auto"/>
        <w:right w:val="none" w:sz="0" w:space="0" w:color="auto"/>
      </w:divBdr>
    </w:div>
    <w:div w:id="19008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Temp\&#1055;&#1110;&#1085;&#1089;&#1100;&#1082;&#1072;\1.%20&#1047;&#1074;&#1110;&#1090;&#1080;\&#1044;&#1110;&#1072;&#1075;&#1088;&#1072;&#1084;&#1080;,%20&#1075;&#1088;&#1072;&#1092;&#1110;&#1082;&#1080;\&#1044;&#1030;&#1040;&#1043;&#1056;&#1040;&#1052;&#1048;_&#1030;&#1088;&#1072;.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oleObject" Target="file:///D:\disc%20D\voloshchukwork\&#1044;&#1030;&#1040;&#1043;&#1056;&#1040;&#1052;&#1048;.xls" TargetMode="External"/><Relationship Id="rId2" Type="http://schemas.openxmlformats.org/officeDocument/2006/relationships/image" Target="../media/image1.jpeg"/><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D:\Temp\&#1055;&#1110;&#1085;&#1089;&#1100;&#1082;&#1072;\1.%20&#1047;&#1074;&#1110;&#1090;&#1080;\&#1044;&#1110;&#1072;&#1075;&#1088;&#1072;&#1084;&#1080;,%20&#1075;&#1088;&#1072;&#1092;&#1110;&#1082;&#1080;\&#1050;&#1088;&#1091;&#1075;&#1086;&#1074;&#1072;%20%25.xls"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D:\Temp\&#1055;&#1110;&#1085;&#1089;&#1100;&#1082;&#1072;\1.%20&#1047;&#1074;&#1110;&#1090;&#1080;\&#1044;&#1110;&#1072;&#1075;&#1088;&#1072;&#1084;&#1080;,%20&#1075;&#1088;&#1072;&#1092;&#1110;&#1082;&#1080;\&#1050;&#1088;&#1091;&#1075;&#1086;&#1074;&#1072;%20%25.xls"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D:\Temp\&#1055;&#1110;&#1085;&#1089;&#1100;&#1082;&#1072;\1.%20&#1047;&#1074;&#1110;&#1090;&#1080;\&#1044;&#1110;&#1072;&#1075;&#1088;&#1072;&#1084;&#1080;,%20&#1075;&#1088;&#1072;&#1092;&#1110;&#1082;&#1080;\&#1050;&#1088;&#1091;&#1075;&#1086;&#1074;&#1072;%20%25.xls"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D:\Temp\&#1055;&#1110;&#1085;&#1089;&#1100;&#1082;&#1072;\1.%20&#1047;&#1074;&#1110;&#1090;&#1080;\&#1044;&#1110;&#1072;&#1075;&#1088;&#1072;&#1084;&#1080;,%20&#1075;&#1088;&#1072;&#1092;&#1110;&#1082;&#1080;\&#1044;&#1110;&#1072;&#1075;&#1088;&#1072;&#1084;&#1080;_2016_2017_&#1088;&#1110;&#1082;_&#1085;&#1072;&#1076;&#1093;&#1086;&#1076;&#1078;&#1077;&#1085;&#1085;&#1103;.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tat1\&#1089;&#1087;&#1110;&#1083;&#1100;&#1085;&#1072;%20&#1089;&#1077;&#1082;&#1090;&#1086;&#1088;&#1091;%20&#1089;&#1090;&#1072;&#1090;&#1080;&#1089;&#1090;&#1080;&#1082;&#1080;\&#1047;&#1042;&#1030;&#1058;&#1048;\&#1055;&#1086;&#1088;&#1110;&#1074;&#1085;&#1103;&#1083;&#1100;&#1085;&#1110;\&#1050;&#1088;&#1080;&#1074;&#1072;_&#1085;&#1072;&#1074;&#1072;&#1085;&#1090;_2005_2016.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Temp\&#1055;&#1110;&#1085;&#1089;&#1100;&#1082;&#1072;\1.%20&#1047;&#1074;&#1110;&#1090;&#1080;\&#1044;&#1110;&#1072;&#1075;&#1088;&#1072;&#1084;&#1080;,%20&#1075;&#1088;&#1072;&#1092;&#1110;&#1082;&#1080;\&#1057;&#1090;&#1086;&#1074;&#1095;&#1080;&#1082;&#1072;&#1084;&#1080;%20&#1076;&#1110;&#1072;&#1075;&#1088;&#1072;&#1084;&#1072;.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disc%20D\voloshchukwork\&#1044;&#1030;&#1040;&#1043;&#1056;&#1040;&#1052;&#1048;.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24578642545715"/>
          <c:y val="0.10911990896242865"/>
          <c:w val="0.45643955662566971"/>
          <c:h val="0.77243617275113341"/>
        </c:manualLayout>
      </c:layout>
      <c:pieChart>
        <c:varyColors val="1"/>
        <c:ser>
          <c:idx val="0"/>
          <c:order val="0"/>
          <c:spPr>
            <a:ln>
              <a:solidFill>
                <a:schemeClr val="accent1"/>
              </a:solidFill>
            </a:ln>
          </c:spPr>
          <c:explosion val="25"/>
          <c:dPt>
            <c:idx val="0"/>
            <c:bubble3D val="0"/>
            <c:explosion val="45"/>
            <c:spPr>
              <a:solidFill>
                <a:srgbClr val="92D050"/>
              </a:solidFill>
              <a:ln>
                <a:solidFill>
                  <a:schemeClr val="accent1"/>
                </a:solidFill>
              </a:ln>
            </c:spPr>
          </c:dPt>
          <c:dPt>
            <c:idx val="1"/>
            <c:bubble3D val="0"/>
            <c:spPr>
              <a:solidFill>
                <a:srgbClr val="00B0F0"/>
              </a:solidFill>
              <a:ln>
                <a:solidFill>
                  <a:schemeClr val="accent1"/>
                </a:solidFill>
              </a:ln>
            </c:spPr>
          </c:dPt>
          <c:dPt>
            <c:idx val="2"/>
            <c:bubble3D val="0"/>
            <c:spPr>
              <a:solidFill>
                <a:srgbClr val="C00000"/>
              </a:solidFill>
              <a:ln>
                <a:solidFill>
                  <a:schemeClr val="accent1"/>
                </a:solidFill>
              </a:ln>
            </c:spPr>
          </c:dPt>
          <c:dPt>
            <c:idx val="3"/>
            <c:bubble3D val="0"/>
            <c:spPr>
              <a:solidFill>
                <a:srgbClr val="FFC000"/>
              </a:solidFill>
              <a:ln>
                <a:solidFill>
                  <a:schemeClr val="accent1"/>
                </a:solidFill>
              </a:ln>
            </c:spPr>
          </c:dPt>
          <c:dLbls>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Лист1!$C$6:$C$9</c:f>
              <c:strCache>
                <c:ptCount val="4"/>
                <c:pt idx="0">
                  <c:v>справи та матеріали кримінального судочинства </c:v>
                </c:pt>
                <c:pt idx="1">
                  <c:v>справи та матеріали адміністративного судочинства</c:v>
                </c:pt>
                <c:pt idx="2">
                  <c:v>справи та матеріали цивільного судочинства </c:v>
                </c:pt>
                <c:pt idx="3">
                  <c:v>справи та матеріали про адміністартивне правопорушення</c:v>
                </c:pt>
              </c:strCache>
            </c:strRef>
          </c:cat>
          <c:val>
            <c:numRef>
              <c:f>Лист1!$D$6:$D$9</c:f>
              <c:numCache>
                <c:formatCode>General</c:formatCode>
                <c:ptCount val="4"/>
                <c:pt idx="0">
                  <c:v>41.43</c:v>
                </c:pt>
                <c:pt idx="1">
                  <c:v>1.91</c:v>
                </c:pt>
                <c:pt idx="2">
                  <c:v>29.36</c:v>
                </c:pt>
                <c:pt idx="3">
                  <c:v>27.66</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462874991865682"/>
          <c:y val="0.17832204540865956"/>
          <c:w val="0.33414459556191833"/>
          <c:h val="0.7878552943119872"/>
        </c:manualLayout>
      </c:layout>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375090281352297"/>
          <c:y val="5.208350994028707E-2"/>
          <c:w val="0.5083343675422517"/>
          <c:h val="0.69444679920382757"/>
        </c:manualLayout>
      </c:layout>
      <c:barChart>
        <c:barDir val="bar"/>
        <c:grouping val="stacked"/>
        <c:varyColors val="0"/>
        <c:ser>
          <c:idx val="0"/>
          <c:order val="0"/>
          <c:spPr>
            <a:solidFill>
              <a:schemeClr val="accent6">
                <a:lumMod val="75000"/>
              </a:schemeClr>
            </a:solidFill>
            <a:ln w="12700">
              <a:solidFill>
                <a:schemeClr val="accent2">
                  <a:lumMod val="60000"/>
                  <a:lumOff val="40000"/>
                </a:schemeClr>
              </a:solidFill>
              <a:prstDash val="solid"/>
            </a:ln>
          </c:spPr>
          <c:invertIfNegative val="0"/>
          <c:dLbls>
            <c:dLbl>
              <c:idx val="3"/>
              <c:layout>
                <c:manualLayout>
                  <c:x val="6.6666666666666666E-2"/>
                  <c:y val="0"/>
                </c:manualLayout>
              </c:layout>
              <c:dLblPos val="ctr"/>
              <c:showLegendKey val="0"/>
              <c:showVal val="1"/>
              <c:showCatName val="0"/>
              <c:showSerName val="0"/>
              <c:showPercent val="0"/>
              <c:showBubbleSize val="0"/>
            </c:dLbl>
            <c:spPr>
              <a:noFill/>
              <a:ln w="25400">
                <a:noFill/>
              </a:ln>
            </c:spPr>
            <c:txPr>
              <a:bodyPr/>
              <a:lstStyle/>
              <a:p>
                <a:pPr>
                  <a:defRPr sz="975" b="1" i="0" u="none" strike="noStrike" baseline="0">
                    <a:solidFill>
                      <a:srgbClr val="000000"/>
                    </a:solidFill>
                    <a:latin typeface="Arial"/>
                    <a:ea typeface="Arial"/>
                    <a:cs typeface="Arial"/>
                  </a:defRPr>
                </a:pPr>
                <a:endParaRPr lang="ru-RU"/>
              </a:p>
            </c:txPr>
            <c:dLblPos val="ctr"/>
            <c:showLegendKey val="0"/>
            <c:showVal val="1"/>
            <c:showCatName val="0"/>
            <c:showSerName val="0"/>
            <c:showPercent val="0"/>
            <c:showBubbleSize val="0"/>
            <c:showLeaderLines val="0"/>
          </c:dLbls>
          <c:cat>
            <c:strRef>
              <c:f>Лист7!$C$3:$C$6</c:f>
              <c:strCache>
                <c:ptCount val="4"/>
                <c:pt idx="0">
                  <c:v>злочини невеликої тяжкості</c:v>
                </c:pt>
                <c:pt idx="1">
                  <c:v>злочини середньої тяжкості</c:v>
                </c:pt>
                <c:pt idx="2">
                  <c:v>тяжкі злочини</c:v>
                </c:pt>
                <c:pt idx="3">
                  <c:v>особливо тяжкі злочини</c:v>
                </c:pt>
              </c:strCache>
            </c:strRef>
          </c:cat>
          <c:val>
            <c:numRef>
              <c:f>Лист7!$D$3:$D$6</c:f>
              <c:numCache>
                <c:formatCode>General</c:formatCode>
                <c:ptCount val="4"/>
                <c:pt idx="0">
                  <c:v>13.82</c:v>
                </c:pt>
                <c:pt idx="1">
                  <c:v>51.45</c:v>
                </c:pt>
                <c:pt idx="2">
                  <c:v>32.39</c:v>
                </c:pt>
                <c:pt idx="3">
                  <c:v>2.33</c:v>
                </c:pt>
              </c:numCache>
            </c:numRef>
          </c:val>
        </c:ser>
        <c:dLbls>
          <c:showLegendKey val="0"/>
          <c:showVal val="0"/>
          <c:showCatName val="0"/>
          <c:showSerName val="0"/>
          <c:showPercent val="0"/>
          <c:showBubbleSize val="0"/>
        </c:dLbls>
        <c:gapWidth val="150"/>
        <c:overlap val="100"/>
        <c:axId val="242216320"/>
        <c:axId val="242402432"/>
      </c:barChart>
      <c:catAx>
        <c:axId val="242216320"/>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ru-RU"/>
          </a:p>
        </c:txPr>
        <c:crossAx val="242402432"/>
        <c:crosses val="autoZero"/>
        <c:auto val="1"/>
        <c:lblAlgn val="ctr"/>
        <c:lblOffset val="100"/>
        <c:tickLblSkip val="1"/>
        <c:tickMarkSkip val="1"/>
        <c:noMultiLvlLbl val="0"/>
      </c:catAx>
      <c:valAx>
        <c:axId val="24240243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ru-RU"/>
          </a:p>
        </c:txPr>
        <c:crossAx val="242216320"/>
        <c:crosses val="autoZero"/>
        <c:crossBetween val="between"/>
      </c:valAx>
      <c:spPr>
        <a:noFill/>
        <a:ln w="25400">
          <a:noFill/>
        </a:ln>
      </c:spPr>
    </c:plotArea>
    <c:plotVisOnly val="1"/>
    <c:dispBlanksAs val="gap"/>
    <c:showDLblsOverMax val="0"/>
  </c:chart>
  <c:spPr>
    <a:solidFill>
      <a:srgbClr val="FFC000"/>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8"/>
    </mc:Choice>
    <mc:Fallback>
      <c:style val="38"/>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3130016051364366"/>
          <c:y val="0.11941913802830721"/>
          <c:w val="0.5826645264847512"/>
          <c:h val="0.7871255345418271"/>
        </c:manualLayout>
      </c:layout>
      <c:bar3DChart>
        <c:barDir val="bar"/>
        <c:grouping val="clustered"/>
        <c:varyColors val="0"/>
        <c:ser>
          <c:idx val="0"/>
          <c:order val="0"/>
          <c:spPr>
            <a:solidFill>
              <a:srgbClr val="92D050"/>
            </a:solidFill>
          </c:spPr>
          <c:invertIfNegative val="0"/>
          <c:dLbls>
            <c:dLbl>
              <c:idx val="0"/>
              <c:layout>
                <c:manualLayout>
                  <c:x val="2.6108534186035054E-3"/>
                  <c:y val="-5.2940145225739213E-3"/>
                </c:manualLayout>
              </c:layout>
              <c:showLegendKey val="0"/>
              <c:showVal val="1"/>
              <c:showCatName val="0"/>
              <c:showSerName val="0"/>
              <c:showPercent val="0"/>
              <c:showBubbleSize val="0"/>
            </c:dLbl>
            <c:dLbl>
              <c:idx val="1"/>
              <c:layout>
                <c:manualLayout>
                  <c:x val="1.2057481578848024E-3"/>
                  <c:y val="-1.19706707039512E-2"/>
                </c:manualLayout>
              </c:layout>
              <c:showLegendKey val="0"/>
              <c:showVal val="1"/>
              <c:showCatName val="0"/>
              <c:showSerName val="0"/>
              <c:showPercent val="0"/>
              <c:showBubbleSize val="0"/>
            </c:dLbl>
            <c:dLbl>
              <c:idx val="2"/>
              <c:layout>
                <c:manualLayout>
                  <c:x val="1.2447938389723816E-2"/>
                  <c:y val="-1.2416778335421801E-2"/>
                </c:manualLayout>
              </c:layout>
              <c:showLegendKey val="0"/>
              <c:showVal val="1"/>
              <c:showCatName val="0"/>
              <c:showSerName val="0"/>
              <c:showPercent val="0"/>
              <c:showBubbleSize val="0"/>
            </c:dLbl>
            <c:dLbl>
              <c:idx val="3"/>
              <c:layout>
                <c:manualLayout>
                  <c:x val="-1.8604416021030176E-3"/>
                  <c:y val="-1.5978160241845795E-2"/>
                </c:manualLayout>
              </c:layout>
              <c:showLegendKey val="0"/>
              <c:showVal val="1"/>
              <c:showCatName val="0"/>
              <c:showSerName val="0"/>
              <c:showPercent val="0"/>
              <c:showBubbleSize val="0"/>
            </c:dLbl>
            <c:dLbl>
              <c:idx val="4"/>
              <c:layout>
                <c:manualLayout>
                  <c:x val="1.0198893677616094E-2"/>
                  <c:y val="-1.6424267873316287E-2"/>
                </c:manualLayout>
              </c:layout>
              <c:showLegendKey val="0"/>
              <c:showVal val="1"/>
              <c:showCatName val="0"/>
              <c:showSerName val="0"/>
              <c:showPercent val="0"/>
              <c:showBubbleSize val="0"/>
            </c:dLbl>
            <c:dLbl>
              <c:idx val="5"/>
              <c:layout>
                <c:manualLayout>
                  <c:x val="5.3393325834270415E-3"/>
                  <c:y val="-1.9985649779740225E-2"/>
                </c:manualLayout>
              </c:layout>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Лист8!$C$3:$C$7</c:f>
              <c:strCache>
                <c:ptCount val="5"/>
                <c:pt idx="0">
                  <c:v>звільнено від покараня з випробуванням</c:v>
                </c:pt>
                <c:pt idx="1">
                  <c:v>позбавлення волі</c:v>
                </c:pt>
                <c:pt idx="2">
                  <c:v>штраф</c:v>
                </c:pt>
                <c:pt idx="3">
                  <c:v>громадські роботи</c:v>
                </c:pt>
                <c:pt idx="4">
                  <c:v>арешт</c:v>
                </c:pt>
              </c:strCache>
            </c:strRef>
          </c:cat>
          <c:val>
            <c:numRef>
              <c:f>Лист8!$D$3:$D$7</c:f>
              <c:numCache>
                <c:formatCode>General</c:formatCode>
                <c:ptCount val="5"/>
                <c:pt idx="0">
                  <c:v>34.43</c:v>
                </c:pt>
                <c:pt idx="1">
                  <c:v>22.98</c:v>
                </c:pt>
                <c:pt idx="2">
                  <c:v>27.68</c:v>
                </c:pt>
                <c:pt idx="3">
                  <c:v>6.46</c:v>
                </c:pt>
                <c:pt idx="4">
                  <c:v>4.17</c:v>
                </c:pt>
              </c:numCache>
            </c:numRef>
          </c:val>
        </c:ser>
        <c:dLbls>
          <c:showLegendKey val="0"/>
          <c:showVal val="0"/>
          <c:showCatName val="0"/>
          <c:showSerName val="0"/>
          <c:showPercent val="0"/>
          <c:showBubbleSize val="0"/>
        </c:dLbls>
        <c:gapWidth val="75"/>
        <c:shape val="box"/>
        <c:axId val="243561600"/>
        <c:axId val="243563136"/>
        <c:axId val="0"/>
      </c:bar3DChart>
      <c:catAx>
        <c:axId val="243561600"/>
        <c:scaling>
          <c:orientation val="minMax"/>
        </c:scaling>
        <c:delete val="0"/>
        <c:axPos val="l"/>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3563136"/>
        <c:crosses val="autoZero"/>
        <c:auto val="1"/>
        <c:lblAlgn val="ctr"/>
        <c:lblOffset val="100"/>
        <c:noMultiLvlLbl val="0"/>
      </c:catAx>
      <c:valAx>
        <c:axId val="243563136"/>
        <c:scaling>
          <c:orientation val="minMax"/>
        </c:scaling>
        <c:delete val="0"/>
        <c:axPos val="b"/>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356160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8099518810148729E-2"/>
          <c:y val="5.4424116103134169E-2"/>
          <c:w val="0.94078215223097117"/>
          <c:h val="0.78745522618496222"/>
        </c:manualLayout>
      </c:layout>
      <c:bar3DChart>
        <c:barDir val="col"/>
        <c:grouping val="clustered"/>
        <c:varyColors val="0"/>
        <c:ser>
          <c:idx val="0"/>
          <c:order val="0"/>
          <c:spPr>
            <a:blipFill>
              <a:blip xmlns:r="http://schemas.openxmlformats.org/officeDocument/2006/relationships" r:embed="rId2"/>
              <a:tile tx="0" ty="0" sx="100000" sy="100000" flip="none" algn="tl"/>
            </a:blipFill>
          </c:spPr>
          <c:invertIfNegative val="0"/>
          <c:dLbls>
            <c:dLbl>
              <c:idx val="0"/>
              <c:layout>
                <c:manualLayout>
                  <c:x val="2.9488845144356957E-2"/>
                  <c:y val="-6.1319283618959393E-2"/>
                </c:manualLayout>
              </c:layout>
              <c:showLegendKey val="0"/>
              <c:showVal val="1"/>
              <c:showCatName val="0"/>
              <c:showSerName val="0"/>
              <c:showPercent val="0"/>
              <c:showBubbleSize val="0"/>
            </c:dLbl>
            <c:dLbl>
              <c:idx val="1"/>
              <c:layout>
                <c:manualLayout>
                  <c:x val="2.1530839895013122E-2"/>
                  <c:y val="-4.9689285162884053E-2"/>
                </c:manualLayout>
              </c:layout>
              <c:showLegendKey val="0"/>
              <c:showVal val="1"/>
              <c:showCatName val="0"/>
              <c:showSerName val="0"/>
              <c:showPercent val="0"/>
              <c:showBubbleSize val="0"/>
            </c:dLbl>
            <c:dLbl>
              <c:idx val="2"/>
              <c:layout>
                <c:manualLayout>
                  <c:x val="2.1308836395450517E-2"/>
                  <c:y val="-5.175621429674232E-3"/>
                </c:manualLayout>
              </c:layout>
              <c:showLegendKey val="0"/>
              <c:showVal val="1"/>
              <c:showCatName val="0"/>
              <c:showSerName val="0"/>
              <c:showPercent val="0"/>
              <c:showBubbleSize val="0"/>
            </c:dLbl>
            <c:dLbl>
              <c:idx val="3"/>
              <c:layout>
                <c:manualLayout>
                  <c:x val="1.3350716640431887E-2"/>
                  <c:y val="-4.6441253666821593E-3"/>
                </c:manualLayout>
              </c:layout>
              <c:showLegendKey val="0"/>
              <c:showVal val="1"/>
              <c:showCatName val="0"/>
              <c:showSerName val="0"/>
              <c:showPercent val="0"/>
              <c:showBubbleSize val="0"/>
            </c:dLbl>
            <c:dLbl>
              <c:idx val="4"/>
              <c:layout>
                <c:manualLayout>
                  <c:x val="1.511482939632546E-2"/>
                  <c:y val="-2.2881735371313879E-2"/>
                </c:manualLayout>
              </c:layout>
              <c:showLegendKey val="0"/>
              <c:showVal val="1"/>
              <c:showCatName val="0"/>
              <c:showSerName val="0"/>
              <c:showPercent val="0"/>
              <c:showBubbleSize val="0"/>
            </c:dLbl>
            <c:dLbl>
              <c:idx val="5"/>
              <c:layout>
                <c:manualLayout>
                  <c:x val="2.7892825896763007E-2"/>
                  <c:y val="-3.5793191292264936E-2"/>
                </c:manualLayout>
              </c:layout>
              <c:showLegendKey val="0"/>
              <c:showVal val="1"/>
              <c:showCatName val="0"/>
              <c:showSerName val="0"/>
              <c:showPercent val="0"/>
              <c:showBubbleSize val="0"/>
            </c:dLbl>
            <c:dLbl>
              <c:idx val="6"/>
              <c:layout>
                <c:manualLayout>
                  <c:x val="1.3684601924759406E-2"/>
                  <c:y val="-5.4344989964489734E-2"/>
                </c:manualLayout>
              </c:layout>
              <c:showLegendKey val="0"/>
              <c:showVal val="1"/>
              <c:showCatName val="0"/>
              <c:showSerName val="0"/>
              <c:showPercent val="0"/>
              <c:showBubbleSize val="0"/>
            </c:dLbl>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Лист10!$C$2:$C$8</c:f>
              <c:strCache>
                <c:ptCount val="7"/>
                <c:pt idx="0">
                  <c:v>14-16 років</c:v>
                </c:pt>
                <c:pt idx="1">
                  <c:v>16-18 років</c:v>
                </c:pt>
                <c:pt idx="2">
                  <c:v>18-25 років</c:v>
                </c:pt>
                <c:pt idx="3">
                  <c:v>25-30 років</c:v>
                </c:pt>
                <c:pt idx="4">
                  <c:v>30-50 років</c:v>
                </c:pt>
                <c:pt idx="5">
                  <c:v>50-65 років</c:v>
                </c:pt>
                <c:pt idx="6">
                  <c:v>65 років і старше</c:v>
                </c:pt>
              </c:strCache>
            </c:strRef>
          </c:cat>
          <c:val>
            <c:numRef>
              <c:f>Лист10!$D$2:$D$8</c:f>
              <c:numCache>
                <c:formatCode>General</c:formatCode>
                <c:ptCount val="7"/>
                <c:pt idx="0">
                  <c:v>1.65</c:v>
                </c:pt>
                <c:pt idx="1">
                  <c:v>3.63</c:v>
                </c:pt>
                <c:pt idx="2">
                  <c:v>20.68</c:v>
                </c:pt>
                <c:pt idx="3">
                  <c:v>16.8</c:v>
                </c:pt>
                <c:pt idx="4">
                  <c:v>47.07</c:v>
                </c:pt>
                <c:pt idx="5">
                  <c:v>8.8000000000000007</c:v>
                </c:pt>
                <c:pt idx="6">
                  <c:v>1.36</c:v>
                </c:pt>
              </c:numCache>
            </c:numRef>
          </c:val>
        </c:ser>
        <c:dLbls>
          <c:showLegendKey val="0"/>
          <c:showVal val="0"/>
          <c:showCatName val="0"/>
          <c:showSerName val="0"/>
          <c:showPercent val="0"/>
          <c:showBubbleSize val="0"/>
        </c:dLbls>
        <c:gapWidth val="75"/>
        <c:shape val="box"/>
        <c:axId val="243595904"/>
        <c:axId val="243671424"/>
        <c:axId val="0"/>
      </c:bar3DChart>
      <c:catAx>
        <c:axId val="24359590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3671424"/>
        <c:crosses val="autoZero"/>
        <c:auto val="1"/>
        <c:lblAlgn val="ctr"/>
        <c:lblOffset val="100"/>
        <c:noMultiLvlLbl val="0"/>
      </c:catAx>
      <c:valAx>
        <c:axId val="243671424"/>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3595904"/>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Arial"/>
                <a:ea typeface="Arial"/>
                <a:cs typeface="Arial"/>
              </a:defRPr>
            </a:pPr>
            <a:r>
              <a:rPr lang="ru-RU"/>
              <a:t>За заняттями на час вчинення злочину засуджені класифікуються </a:t>
            </a:r>
          </a:p>
        </c:rich>
      </c:tx>
      <c:layout>
        <c:manualLayout>
          <c:xMode val="edge"/>
          <c:yMode val="edge"/>
          <c:x val="0.19665830457798758"/>
          <c:y val="2.8218759889056418E-2"/>
        </c:manualLayout>
      </c:layout>
      <c:overlay val="0"/>
      <c:spPr>
        <a:noFill/>
        <a:ln w="25400">
          <a:noFill/>
        </a:ln>
      </c:spPr>
    </c:title>
    <c:autoTitleDeleted val="0"/>
    <c:plotArea>
      <c:layout>
        <c:manualLayout>
          <c:layoutTarget val="inner"/>
          <c:xMode val="edge"/>
          <c:yMode val="edge"/>
          <c:x val="7.9691566724804389E-2"/>
          <c:y val="0.19400386147600701"/>
          <c:w val="0.43958896483682419"/>
          <c:h val="0.60317564204358542"/>
        </c:manualLayout>
      </c:layout>
      <c:doughnutChart>
        <c:varyColors val="1"/>
        <c:ser>
          <c:idx val="0"/>
          <c:order val="0"/>
          <c:spPr>
            <a:solidFill>
              <a:srgbClr val="9999FF"/>
            </a:solidFill>
            <a:ln w="12700">
              <a:solidFill>
                <a:srgbClr val="000000"/>
              </a:solidFill>
              <a:prstDash val="solid"/>
            </a:ln>
          </c:spPr>
          <c:dPt>
            <c:idx val="0"/>
            <c:bubble3D val="0"/>
            <c:spPr>
              <a:solidFill>
                <a:schemeClr val="accent2">
                  <a:lumMod val="60000"/>
                  <a:lumOff val="40000"/>
                </a:schemeClr>
              </a:solidFill>
              <a:ln w="12700">
                <a:solidFill>
                  <a:srgbClr val="000000"/>
                </a:solidFill>
                <a:prstDash val="solid"/>
              </a:ln>
            </c:spPr>
          </c:dPt>
          <c:dPt>
            <c:idx val="1"/>
            <c:bubble3D val="0"/>
            <c:spPr>
              <a:solidFill>
                <a:schemeClr val="accent4">
                  <a:lumMod val="60000"/>
                  <a:lumOff val="40000"/>
                </a:schemeClr>
              </a:solidFill>
              <a:ln w="12700">
                <a:solidFill>
                  <a:schemeClr val="accent6">
                    <a:lumMod val="75000"/>
                  </a:schemeClr>
                </a:solidFill>
                <a:prstDash val="solid"/>
              </a:ln>
            </c:spPr>
          </c:dPt>
          <c:dPt>
            <c:idx val="2"/>
            <c:bubble3D val="0"/>
            <c:spPr>
              <a:solidFill>
                <a:srgbClr val="00B050"/>
              </a:solidFill>
              <a:ln w="12700">
                <a:solidFill>
                  <a:srgbClr val="000000"/>
                </a:solidFill>
                <a:prstDash val="solid"/>
              </a:ln>
            </c:spPr>
          </c:dPt>
          <c:dPt>
            <c:idx val="3"/>
            <c:bubble3D val="0"/>
            <c:spPr>
              <a:solidFill>
                <a:schemeClr val="accent1">
                  <a:lumMod val="60000"/>
                  <a:lumOff val="40000"/>
                </a:schemeClr>
              </a:solidFill>
              <a:ln w="12700">
                <a:solidFill>
                  <a:srgbClr val="000000"/>
                </a:solidFill>
                <a:prstDash val="solid"/>
              </a:ln>
            </c:spPr>
          </c:dPt>
          <c:dPt>
            <c:idx val="4"/>
            <c:bubble3D val="0"/>
            <c:spPr>
              <a:solidFill>
                <a:schemeClr val="accent4">
                  <a:lumMod val="50000"/>
                </a:schemeClr>
              </a:solidFill>
              <a:ln w="12700">
                <a:solidFill>
                  <a:srgbClr val="000000"/>
                </a:solidFill>
                <a:prstDash val="solid"/>
              </a:ln>
            </c:spPr>
          </c:dPt>
          <c:dPt>
            <c:idx val="5"/>
            <c:bubble3D val="0"/>
            <c:spPr>
              <a:solidFill>
                <a:srgbClr val="FFFF00"/>
              </a:solidFill>
              <a:ln w="12700">
                <a:solidFill>
                  <a:srgbClr val="000000"/>
                </a:solidFill>
                <a:prstDash val="solid"/>
              </a:ln>
            </c:spPr>
          </c:dPt>
          <c:dPt>
            <c:idx val="6"/>
            <c:bubble3D val="0"/>
            <c:spPr>
              <a:solidFill>
                <a:schemeClr val="accent3">
                  <a:lumMod val="75000"/>
                </a:schemeClr>
              </a:solidFill>
              <a:ln w="12700">
                <a:solidFill>
                  <a:srgbClr val="000000"/>
                </a:solidFill>
                <a:prstDash val="solid"/>
              </a:ln>
            </c:spPr>
          </c:dPt>
          <c:dPt>
            <c:idx val="7"/>
            <c:bubble3D val="0"/>
            <c:spPr>
              <a:solidFill>
                <a:schemeClr val="accent4">
                  <a:lumMod val="50000"/>
                </a:schemeClr>
              </a:solidFill>
              <a:ln w="12700">
                <a:solidFill>
                  <a:srgbClr val="000000"/>
                </a:solidFill>
                <a:prstDash val="solid"/>
              </a:ln>
            </c:spPr>
          </c:dPt>
          <c:dPt>
            <c:idx val="8"/>
            <c:bubble3D val="0"/>
            <c:spPr>
              <a:solidFill>
                <a:srgbClr val="4F81BD"/>
              </a:solidFill>
              <a:ln w="12700">
                <a:solidFill>
                  <a:srgbClr val="000000"/>
                </a:solidFill>
                <a:prstDash val="solid"/>
              </a:ln>
            </c:spPr>
          </c:dPt>
          <c:dPt>
            <c:idx val="9"/>
            <c:bubble3D val="0"/>
          </c:dPt>
          <c:dLbls>
            <c:dLbl>
              <c:idx val="0"/>
              <c:layout>
                <c:manualLayout>
                  <c:x val="2.9027742980687284E-2"/>
                  <c:y val="-7.1387815835243604E-2"/>
                </c:manualLayout>
              </c:layout>
              <c:showLegendKey val="0"/>
              <c:showVal val="0"/>
              <c:showCatName val="0"/>
              <c:showSerName val="0"/>
              <c:showPercent val="1"/>
              <c:showBubbleSize val="0"/>
            </c:dLbl>
            <c:dLbl>
              <c:idx val="1"/>
              <c:layout>
                <c:manualLayout>
                  <c:x val="3.1989264781644287E-2"/>
                  <c:y val="-8.2698976304727653E-2"/>
                </c:manualLayout>
              </c:layout>
              <c:showLegendKey val="0"/>
              <c:showVal val="0"/>
              <c:showCatName val="0"/>
              <c:showSerName val="0"/>
              <c:showPercent val="1"/>
              <c:showBubbleSize val="0"/>
            </c:dLbl>
            <c:dLbl>
              <c:idx val="2"/>
              <c:layout>
                <c:manualLayout>
                  <c:x val="5.0198034740272506E-2"/>
                  <c:y val="-6.3144690125658945E-2"/>
                </c:manualLayout>
              </c:layout>
              <c:showLegendKey val="0"/>
              <c:showVal val="0"/>
              <c:showCatName val="0"/>
              <c:showSerName val="0"/>
              <c:showPercent val="1"/>
              <c:showBubbleSize val="0"/>
            </c:dLbl>
            <c:dLbl>
              <c:idx val="3"/>
              <c:layout>
                <c:manualLayout>
                  <c:x val="5.8914128008821488E-2"/>
                  <c:y val="-5.290126193633702E-2"/>
                </c:manualLayout>
              </c:layout>
              <c:showLegendKey val="0"/>
              <c:showVal val="0"/>
              <c:showCatName val="0"/>
              <c:showSerName val="0"/>
              <c:showPercent val="1"/>
              <c:showBubbleSize val="0"/>
            </c:dLbl>
            <c:dLbl>
              <c:idx val="4"/>
              <c:layout>
                <c:manualLayout>
                  <c:x val="5.9155150307327105E-2"/>
                  <c:y val="-5.3985701326893266E-2"/>
                </c:manualLayout>
              </c:layout>
              <c:showLegendKey val="0"/>
              <c:showVal val="0"/>
              <c:showCatName val="0"/>
              <c:showSerName val="0"/>
              <c:showPercent val="1"/>
              <c:showBubbleSize val="0"/>
            </c:dLbl>
            <c:dLbl>
              <c:idx val="5"/>
              <c:layout>
                <c:manualLayout>
                  <c:x val="6.3862433896037407E-2"/>
                  <c:y val="-4.8481310387544753E-2"/>
                </c:manualLayout>
              </c:layout>
              <c:showLegendKey val="0"/>
              <c:showVal val="0"/>
              <c:showCatName val="0"/>
              <c:showSerName val="0"/>
              <c:showPercent val="1"/>
              <c:showBubbleSize val="0"/>
            </c:dLbl>
            <c:dLbl>
              <c:idx val="6"/>
              <c:layout>
                <c:manualLayout>
                  <c:x val="6.2759941586931142E-2"/>
                  <c:y val="-1.5708794836150002E-2"/>
                </c:manualLayout>
              </c:layout>
              <c:showLegendKey val="0"/>
              <c:showVal val="0"/>
              <c:showCatName val="0"/>
              <c:showSerName val="0"/>
              <c:showPercent val="1"/>
              <c:showBubbleSize val="0"/>
            </c:dLbl>
            <c:dLbl>
              <c:idx val="7"/>
              <c:layout>
                <c:manualLayout>
                  <c:x val="-8.7154435630520818E-2"/>
                  <c:y val="1.2209288291832692E-2"/>
                </c:manualLayout>
              </c:layout>
              <c:showLegendKey val="0"/>
              <c:showVal val="0"/>
              <c:showCatName val="0"/>
              <c:showSerName val="0"/>
              <c:showPercent val="1"/>
              <c:showBubbleSize val="0"/>
            </c:dLbl>
            <c:dLbl>
              <c:idx val="8"/>
              <c:layout>
                <c:manualLayout>
                  <c:x val="-1.2442676799728117E-2"/>
                  <c:y val="-8.3851473443310828E-2"/>
                </c:manualLayout>
              </c:layout>
              <c:showLegendKey val="0"/>
              <c:showVal val="0"/>
              <c:showCatName val="0"/>
              <c:showSerName val="0"/>
              <c:showPercent val="1"/>
              <c:showBubbleSize val="0"/>
            </c:dLbl>
            <c:dLbl>
              <c:idx val="9"/>
              <c:layout>
                <c:manualLayout>
                  <c:x val="2.0806241872561769E-2"/>
                  <c:y val="-9.2198581560283682E-2"/>
                </c:manualLayout>
              </c:layout>
              <c:showLegendKey val="0"/>
              <c:showVal val="0"/>
              <c:showCatName val="0"/>
              <c:showSerName val="0"/>
              <c:showPercent val="1"/>
              <c:showBubbleSize val="0"/>
            </c:dLbl>
            <c:numFmt formatCode="0%" sourceLinked="0"/>
            <c:spPr>
              <a:noFill/>
              <a:ln w="25400">
                <a:noFill/>
              </a:ln>
            </c:spPr>
            <c:txPr>
              <a:bodyPr/>
              <a:lstStyle/>
              <a:p>
                <a:pPr>
                  <a:defRPr sz="975" b="0" i="0" u="none" strike="noStrike" baseline="0">
                    <a:solidFill>
                      <a:srgbClr val="000000"/>
                    </a:solidFill>
                    <a:latin typeface="Arial"/>
                    <a:ea typeface="Arial"/>
                    <a:cs typeface="Arial"/>
                  </a:defRPr>
                </a:pPr>
                <a:endParaRPr lang="ru-RU"/>
              </a:p>
            </c:txPr>
            <c:showLegendKey val="0"/>
            <c:showVal val="0"/>
            <c:showCatName val="0"/>
            <c:showSerName val="0"/>
            <c:showPercent val="1"/>
            <c:showBubbleSize val="0"/>
            <c:showLeaderLines val="0"/>
          </c:dLbls>
          <c:cat>
            <c:strRef>
              <c:f>Лист11!$D$3:$D$12</c:f>
              <c:strCache>
                <c:ptCount val="10"/>
                <c:pt idx="0">
                  <c:v>робітники</c:v>
                </c:pt>
                <c:pt idx="1">
                  <c:v>військовослужбовці</c:v>
                </c:pt>
                <c:pt idx="2">
                  <c:v>інші службовці</c:v>
                </c:pt>
                <c:pt idx="3">
                  <c:v>учні шкіл, ліцеїв, гімназії</c:v>
                </c:pt>
                <c:pt idx="4">
                  <c:v>студенти навчального закладу</c:v>
                </c:pt>
                <c:pt idx="5">
                  <c:v>пенсіонери, у т.ч. інваліди</c:v>
                </c:pt>
                <c:pt idx="6">
                  <c:v>працівники господарських товариств</c:v>
                </c:pt>
                <c:pt idx="7">
                  <c:v>працездатні, які не працювали і не навчалися</c:v>
                </c:pt>
                <c:pt idx="8">
                  <c:v>інші заняття</c:v>
                </c:pt>
                <c:pt idx="9">
                  <c:v>державні службовці</c:v>
                </c:pt>
              </c:strCache>
            </c:strRef>
          </c:cat>
          <c:val>
            <c:numRef>
              <c:f>Лист11!$E$3:$E$12</c:f>
              <c:numCache>
                <c:formatCode>General</c:formatCode>
                <c:ptCount val="10"/>
                <c:pt idx="0">
                  <c:v>8.08</c:v>
                </c:pt>
                <c:pt idx="1">
                  <c:v>2.62</c:v>
                </c:pt>
                <c:pt idx="2">
                  <c:v>1.26</c:v>
                </c:pt>
                <c:pt idx="3">
                  <c:v>2.33</c:v>
                </c:pt>
                <c:pt idx="4">
                  <c:v>2.66</c:v>
                </c:pt>
                <c:pt idx="5" formatCode="0.00">
                  <c:v>4.12</c:v>
                </c:pt>
                <c:pt idx="6">
                  <c:v>1.86</c:v>
                </c:pt>
                <c:pt idx="7">
                  <c:v>73.569999999999993</c:v>
                </c:pt>
                <c:pt idx="8">
                  <c:v>2</c:v>
                </c:pt>
                <c:pt idx="9">
                  <c:v>0.43</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legend>
      <c:legendPos val="r"/>
      <c:layout>
        <c:manualLayout>
          <c:xMode val="edge"/>
          <c:yMode val="edge"/>
          <c:x val="0.62244207120403838"/>
          <c:y val="0.16813666908657693"/>
          <c:w val="0.34071204038376868"/>
          <c:h val="0.69940991418625853"/>
        </c:manualLayout>
      </c:layout>
      <c:overlay val="0"/>
      <c:spPr>
        <a:solidFill>
          <a:srgbClr val="FFFFFF"/>
        </a:solidFill>
        <a:ln w="25400">
          <a:noFill/>
        </a:ln>
      </c:spPr>
      <c:txPr>
        <a:bodyPr/>
        <a:lstStyle/>
        <a:p>
          <a:pPr>
            <a:defRPr sz="92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solidFill>
      <a:srgbClr val="FFFFFF"/>
    </a:solidFill>
    <a:ln w="9525">
      <a:noFill/>
    </a:ln>
  </c:spPr>
  <c:txPr>
    <a:bodyPr/>
    <a:lstStyle/>
    <a:p>
      <a:pPr>
        <a:defRPr sz="975" b="0" i="0" u="none" strike="noStrike" baseline="0">
          <a:solidFill>
            <a:srgbClr val="000000"/>
          </a:solidFill>
          <a:latin typeface="Arial"/>
          <a:ea typeface="Arial"/>
          <a:cs typeface="Arial"/>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749244612579852"/>
          <c:y val="4.075737257733611E-2"/>
          <c:w val="0.71508477641412138"/>
          <c:h val="0.95924262742266386"/>
        </c:manualLayout>
      </c:layout>
      <c:bar3DChart>
        <c:barDir val="bar"/>
        <c:grouping val="stacked"/>
        <c:varyColors val="0"/>
        <c:ser>
          <c:idx val="0"/>
          <c:order val="0"/>
          <c:spPr>
            <a:gradFill rotWithShape="0">
              <a:gsLst>
                <a:gs pos="0">
                  <a:srgbClr xmlns:mc="http://schemas.openxmlformats.org/markup-compatibility/2006" xmlns:a14="http://schemas.microsoft.com/office/drawing/2010/main" val="FF00FF" mc:Ignorable="a14" a14:legacySpreadsheetColorIndex="14"/>
                </a:gs>
                <a:gs pos="100000">
                  <a:srgbClr xmlns:mc="http://schemas.openxmlformats.org/markup-compatibility/2006" xmlns:a14="http://schemas.microsoft.com/office/drawing/2010/main" val="060006" mc:Ignorable="a14" a14:legacySpreadsheetColorIndex="14">
                    <a:gamma/>
                    <a:shade val="46275"/>
                    <a:invGamma/>
                  </a:srgbClr>
                </a:gs>
              </a:gsLst>
              <a:path path="rect">
                <a:fillToRect r="100000" b="100000"/>
              </a:path>
            </a:gradFill>
            <a:ln w="25400">
              <a:noFill/>
            </a:ln>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Лист12!$C$3:$C$6</c:f>
              <c:strCache>
                <c:ptCount val="4"/>
                <c:pt idx="0">
                  <c:v>проти життя і здоров`я </c:v>
                </c:pt>
                <c:pt idx="1">
                  <c:v>проти власності</c:v>
                </c:pt>
                <c:pt idx="2">
                  <c:v>незаконне заволодіння транспортним засобом</c:v>
                </c:pt>
                <c:pt idx="3">
                  <c:v>інші злочини</c:v>
                </c:pt>
              </c:strCache>
            </c:strRef>
          </c:cat>
          <c:val>
            <c:numRef>
              <c:f>Лист12!$D$3:$D$6</c:f>
              <c:numCache>
                <c:formatCode>General</c:formatCode>
                <c:ptCount val="4"/>
                <c:pt idx="0">
                  <c:v>5</c:v>
                </c:pt>
                <c:pt idx="1">
                  <c:v>77</c:v>
                </c:pt>
                <c:pt idx="2">
                  <c:v>8</c:v>
                </c:pt>
                <c:pt idx="3">
                  <c:v>10</c:v>
                </c:pt>
              </c:numCache>
            </c:numRef>
          </c:val>
        </c:ser>
        <c:dLbls>
          <c:showLegendKey val="0"/>
          <c:showVal val="0"/>
          <c:showCatName val="0"/>
          <c:showSerName val="0"/>
          <c:showPercent val="0"/>
          <c:showBubbleSize val="0"/>
        </c:dLbls>
        <c:gapWidth val="95"/>
        <c:gapDepth val="95"/>
        <c:shape val="box"/>
        <c:axId val="243759360"/>
        <c:axId val="243785728"/>
        <c:axId val="0"/>
      </c:bar3DChart>
      <c:catAx>
        <c:axId val="243759360"/>
        <c:scaling>
          <c:orientation val="minMax"/>
        </c:scaling>
        <c:delete val="0"/>
        <c:axPos val="l"/>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3785728"/>
        <c:crosses val="autoZero"/>
        <c:auto val="1"/>
        <c:lblAlgn val="ctr"/>
        <c:lblOffset val="100"/>
        <c:noMultiLvlLbl val="0"/>
      </c:catAx>
      <c:valAx>
        <c:axId val="243785728"/>
        <c:scaling>
          <c:orientation val="minMax"/>
        </c:scaling>
        <c:delete val="1"/>
        <c:axPos val="b"/>
        <c:numFmt formatCode="General" sourceLinked="1"/>
        <c:majorTickMark val="out"/>
        <c:minorTickMark val="none"/>
        <c:tickLblPos val="nextTo"/>
        <c:crossAx val="243759360"/>
        <c:crosses val="autoZero"/>
        <c:crossBetween val="between"/>
      </c:valAx>
      <c:spPr>
        <a:noFill/>
        <a:ln w="25400">
          <a:noFill/>
        </a:ln>
      </c:spPr>
    </c:plotArea>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invertIfNegative val="0"/>
          <c:dLbls>
            <c:dLbl>
              <c:idx val="0"/>
              <c:layout>
                <c:manualLayout>
                  <c:x val="0.27434052757793764"/>
                  <c:y val="-1.1747430249632892E-2"/>
                </c:manualLayout>
              </c:layout>
              <c:showLegendKey val="0"/>
              <c:showVal val="1"/>
              <c:showCatName val="0"/>
              <c:showSerName val="0"/>
              <c:showPercent val="0"/>
              <c:showBubbleSize val="0"/>
            </c:dLbl>
            <c:dLbl>
              <c:idx val="1"/>
              <c:layout>
                <c:manualLayout>
                  <c:x val="0.12470023980815348"/>
                  <c:y val="-8.8105726872246704E-3"/>
                </c:manualLayout>
              </c:layout>
              <c:showLegendKey val="0"/>
              <c:showVal val="1"/>
              <c:showCatName val="0"/>
              <c:showSerName val="0"/>
              <c:showPercent val="0"/>
              <c:showBubbleSize val="0"/>
            </c:dLbl>
            <c:dLbl>
              <c:idx val="2"/>
              <c:layout>
                <c:manualLayout>
                  <c:x val="0.10935236692535735"/>
                  <c:y val="-1.1747430249632892E-2"/>
                </c:manualLayout>
              </c:layout>
              <c:showLegendKey val="0"/>
              <c:showVal val="1"/>
              <c:showCatName val="0"/>
              <c:showSerName val="0"/>
              <c:showPercent val="0"/>
              <c:showBubbleSize val="0"/>
            </c:dLbl>
            <c:dLbl>
              <c:idx val="3"/>
              <c:layout>
                <c:manualLayout>
                  <c:x val="6.9064748201438847E-2"/>
                  <c:y val="0"/>
                </c:manualLayout>
              </c:layout>
              <c:showLegendKey val="0"/>
              <c:showVal val="1"/>
              <c:showCatName val="0"/>
              <c:showSerName val="0"/>
              <c:showPercent val="0"/>
              <c:showBubbleSize val="0"/>
            </c:dLbl>
            <c:dLbl>
              <c:idx val="4"/>
              <c:layout>
                <c:manualLayout>
                  <c:x val="6.5227817745803357E-2"/>
                  <c:y val="-2.936857562408223E-3"/>
                </c:manualLayout>
              </c:layout>
              <c:showLegendKey val="0"/>
              <c:showVal val="1"/>
              <c:showCatName val="0"/>
              <c:showSerName val="0"/>
              <c:showPercent val="0"/>
              <c:showBubbleSize val="0"/>
            </c:dLbl>
            <c:dLbl>
              <c:idx val="5"/>
              <c:layout>
                <c:manualLayout>
                  <c:x val="6.3309352517985612E-2"/>
                  <c:y val="-5.8737151248164461E-3"/>
                </c:manualLayout>
              </c:layout>
              <c:showLegendKey val="0"/>
              <c:showVal val="1"/>
              <c:showCatName val="0"/>
              <c:showSerName val="0"/>
              <c:showPercent val="0"/>
              <c:showBubbleSize val="0"/>
            </c:dLbl>
            <c:dLbl>
              <c:idx val="6"/>
              <c:layout>
                <c:manualLayout>
                  <c:x val="6.3309352517985612E-2"/>
                  <c:y val="0"/>
                </c:manualLayout>
              </c:layout>
              <c:showLegendKey val="0"/>
              <c:showVal val="1"/>
              <c:showCatName val="0"/>
              <c:showSerName val="0"/>
              <c:showPercent val="0"/>
              <c:showBubbleSize val="0"/>
            </c:dLbl>
            <c:dLbl>
              <c:idx val="7"/>
              <c:layout>
                <c:manualLayout>
                  <c:x val="6.7146282973621102E-2"/>
                  <c:y val="-2.0558002936857563E-2"/>
                </c:manualLayout>
              </c:layout>
              <c:showLegendKey val="0"/>
              <c:showVal val="1"/>
              <c:showCatName val="0"/>
              <c:showSerName val="0"/>
              <c:showPercent val="0"/>
              <c:showBubbleSize val="0"/>
            </c:dLbl>
            <c:dLbl>
              <c:idx val="8"/>
              <c:layout>
                <c:manualLayout>
                  <c:x val="6.1390887290167867E-2"/>
                  <c:y val="-1.174743024963289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Лист4!$B$3:$B$11</c:f>
              <c:strCache>
                <c:ptCount val="9"/>
                <c:pt idx="0">
                  <c:v>працездатні, які не працювали і не навчалися </c:v>
                </c:pt>
                <c:pt idx="1">
                  <c:v>інші заняття</c:v>
                </c:pt>
                <c:pt idx="2">
                  <c:v>робітники</c:v>
                </c:pt>
                <c:pt idx="3">
                  <c:v>пенсіонери</c:v>
                </c:pt>
                <c:pt idx="4">
                  <c:v>військовослужбовці</c:v>
                </c:pt>
                <c:pt idx="5">
                  <c:v>інші службовці</c:v>
                </c:pt>
                <c:pt idx="6">
                  <c:v>інші службовці</c:v>
                </c:pt>
                <c:pt idx="7">
                  <c:v>державні службовці</c:v>
                </c:pt>
                <c:pt idx="8">
                  <c:v>безробітні</c:v>
                </c:pt>
              </c:strCache>
            </c:strRef>
          </c:cat>
          <c:val>
            <c:numRef>
              <c:f>Лист4!$C$3:$C$11</c:f>
              <c:numCache>
                <c:formatCode>General</c:formatCode>
                <c:ptCount val="9"/>
                <c:pt idx="0">
                  <c:v>10474</c:v>
                </c:pt>
                <c:pt idx="1">
                  <c:v>2845</c:v>
                </c:pt>
                <c:pt idx="2">
                  <c:v>1939</c:v>
                </c:pt>
                <c:pt idx="3">
                  <c:v>606</c:v>
                </c:pt>
                <c:pt idx="4">
                  <c:v>468</c:v>
                </c:pt>
                <c:pt idx="5">
                  <c:v>367</c:v>
                </c:pt>
                <c:pt idx="6">
                  <c:v>367</c:v>
                </c:pt>
                <c:pt idx="7">
                  <c:v>69</c:v>
                </c:pt>
                <c:pt idx="8">
                  <c:v>34</c:v>
                </c:pt>
              </c:numCache>
            </c:numRef>
          </c:val>
        </c:ser>
        <c:dLbls>
          <c:showLegendKey val="0"/>
          <c:showVal val="1"/>
          <c:showCatName val="0"/>
          <c:showSerName val="0"/>
          <c:showPercent val="0"/>
          <c:showBubbleSize val="0"/>
        </c:dLbls>
        <c:gapWidth val="75"/>
        <c:shape val="box"/>
        <c:axId val="243792512"/>
        <c:axId val="243815936"/>
        <c:axId val="0"/>
      </c:bar3DChart>
      <c:catAx>
        <c:axId val="243792512"/>
        <c:scaling>
          <c:orientation val="minMax"/>
        </c:scaling>
        <c:delete val="0"/>
        <c:axPos val="l"/>
        <c:majorTickMark val="none"/>
        <c:minorTickMark val="none"/>
        <c:tickLblPos val="nextTo"/>
        <c:crossAx val="243815936"/>
        <c:crosses val="autoZero"/>
        <c:auto val="1"/>
        <c:lblAlgn val="ctr"/>
        <c:lblOffset val="100"/>
        <c:noMultiLvlLbl val="0"/>
      </c:catAx>
      <c:valAx>
        <c:axId val="243815936"/>
        <c:scaling>
          <c:orientation val="minMax"/>
        </c:scaling>
        <c:delete val="0"/>
        <c:axPos val="b"/>
        <c:numFmt formatCode="General" sourceLinked="1"/>
        <c:majorTickMark val="none"/>
        <c:minorTickMark val="none"/>
        <c:tickLblPos val="nextTo"/>
        <c:crossAx val="243792512"/>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1547592265252558E-2"/>
          <c:y val="7.2051068737665355E-2"/>
          <c:w val="0.84506808077561735"/>
          <c:h val="0.83297522986933348"/>
        </c:manualLayout>
      </c:layout>
      <c:pie3DChart>
        <c:varyColors val="1"/>
        <c:ser>
          <c:idx val="0"/>
          <c:order val="0"/>
          <c:explosion val="28"/>
          <c:dPt>
            <c:idx val="0"/>
            <c:bubble3D val="0"/>
            <c:explosion val="88"/>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1"/>
              <c:layout>
                <c:manualLayout>
                  <c:x val="-2.5405271086676295E-2"/>
                  <c:y val="6.2212942705151986E-2"/>
                </c:manualLayout>
              </c:layout>
              <c:tx>
                <c:rich>
                  <a:bodyPr/>
                  <a:lstStyle/>
                  <a:p>
                    <a:r>
                      <a:rPr lang="uk-UA"/>
                      <a:t>громадські роботи - 3,31</a:t>
                    </a:r>
                  </a:p>
                </c:rich>
              </c:tx>
              <c:showLegendKey val="0"/>
              <c:showVal val="1"/>
              <c:showCatName val="1"/>
              <c:showSerName val="0"/>
              <c:showPercent val="0"/>
              <c:showBubbleSize val="0"/>
            </c:dLbl>
            <c:dLbl>
              <c:idx val="2"/>
              <c:layout>
                <c:manualLayout>
                  <c:x val="-8.3834878628337134E-2"/>
                  <c:y val="1.5693242858041898E-3"/>
                </c:manualLayout>
              </c:layout>
              <c:tx>
                <c:rich>
                  <a:bodyPr/>
                  <a:lstStyle/>
                  <a:p>
                    <a:r>
                      <a:rPr lang="uk-UA"/>
                      <a:t>адміністративний арешт - 2,9</a:t>
                    </a:r>
                  </a:p>
                </c:rich>
              </c:tx>
              <c:showLegendKey val="0"/>
              <c:showVal val="1"/>
              <c:showCatName val="1"/>
              <c:showSerName val="0"/>
              <c:showPercent val="0"/>
              <c:showBubbleSize val="0"/>
            </c:dLbl>
            <c:dLbl>
              <c:idx val="3"/>
              <c:layout>
                <c:manualLayout>
                  <c:x val="-3.5263228191150665E-2"/>
                  <c:y val="-5.0108651792291833E-2"/>
                </c:manualLayout>
              </c:layout>
              <c:tx>
                <c:rich>
                  <a:bodyPr/>
                  <a:lstStyle/>
                  <a:p>
                    <a:r>
                      <a:rPr lang="uk-UA"/>
                      <a:t>попередження - 3,43</a:t>
                    </a:r>
                  </a:p>
                </c:rich>
              </c:tx>
              <c:showLegendKey val="0"/>
              <c:showVal val="1"/>
              <c:showCatName val="1"/>
              <c:showSerName val="0"/>
              <c:showPercent val="0"/>
              <c:showBubbleSize val="0"/>
            </c:dLbl>
            <c:dLbl>
              <c:idx val="4"/>
              <c:tx>
                <c:rich>
                  <a:bodyPr/>
                  <a:lstStyle/>
                  <a:p>
                    <a:r>
                      <a:rPr lang="uk-UA"/>
                      <a:t>позбавлення спеціального права - 1,17</a:t>
                    </a:r>
                  </a:p>
                </c:rich>
              </c:tx>
              <c:showLegendKey val="0"/>
              <c:showVal val="1"/>
              <c:showCatName val="1"/>
              <c:showSerName val="0"/>
              <c:showPercent val="0"/>
              <c:showBubbleSize val="0"/>
            </c:dLbl>
            <c:dLbl>
              <c:idx val="5"/>
              <c:layout>
                <c:manualLayout>
                  <c:x val="0.36090245862124376"/>
                  <c:y val="-7.5279339503291826E-2"/>
                </c:manualLayout>
              </c:layout>
              <c:tx>
                <c:rich>
                  <a:bodyPr/>
                  <a:lstStyle/>
                  <a:p>
                    <a:r>
                      <a:rPr lang="uk-UA"/>
                      <a:t>конфіскація предмета, грошей (основне стягнення) - 0,71</a:t>
                    </a:r>
                  </a:p>
                </c:rich>
              </c:tx>
              <c:showLegendKey val="0"/>
              <c:showVal val="1"/>
              <c:showCatName val="1"/>
              <c:showSerName val="0"/>
              <c:showPercent val="0"/>
              <c:showBubbleSize val="0"/>
            </c:dLbl>
            <c:dLbl>
              <c:idx val="6"/>
              <c:layout>
                <c:manualLayout>
                  <c:x val="0.23211152177406397"/>
                  <c:y val="1.58748255796726E-2"/>
                </c:manualLayout>
              </c:layout>
              <c:tx>
                <c:rich>
                  <a:bodyPr/>
                  <a:lstStyle/>
                  <a:p>
                    <a:r>
                      <a:rPr lang="uk-UA"/>
                      <a:t>суспільно корисні роботи - 3,05</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Лист3!$B$2:$B$10</c:f>
              <c:strCache>
                <c:ptCount val="7"/>
                <c:pt idx="0">
                  <c:v>штрафи</c:v>
                </c:pt>
                <c:pt idx="1">
                  <c:v>громадські роботи </c:v>
                </c:pt>
                <c:pt idx="2">
                  <c:v>адміністративний арешт</c:v>
                </c:pt>
                <c:pt idx="3">
                  <c:v>попередження</c:v>
                </c:pt>
                <c:pt idx="4">
                  <c:v>позбавлення спеціального права </c:v>
                </c:pt>
                <c:pt idx="5">
                  <c:v>конфіскація предмета, грошей (основне стягнення) </c:v>
                </c:pt>
                <c:pt idx="6">
                  <c:v>суспільно корисні роботи </c:v>
                </c:pt>
              </c:strCache>
            </c:strRef>
          </c:cat>
          <c:val>
            <c:numRef>
              <c:f>Лист3!$C$2:$C$10</c:f>
              <c:numCache>
                <c:formatCode>General</c:formatCode>
                <c:ptCount val="9"/>
                <c:pt idx="0">
                  <c:v>85.04</c:v>
                </c:pt>
                <c:pt idx="1">
                  <c:v>3.31</c:v>
                </c:pt>
                <c:pt idx="2">
                  <c:v>2.9</c:v>
                </c:pt>
                <c:pt idx="3">
                  <c:v>3.43</c:v>
                </c:pt>
                <c:pt idx="4">
                  <c:v>1.17</c:v>
                </c:pt>
                <c:pt idx="5">
                  <c:v>0.71</c:v>
                </c:pt>
                <c:pt idx="6">
                  <c:v>3.05</c:v>
                </c:pt>
              </c:numCache>
            </c:numRef>
          </c:val>
        </c:ser>
        <c:dLbls>
          <c:showLegendKey val="0"/>
          <c:showVal val="1"/>
          <c:showCatName val="1"/>
          <c:showSerName val="0"/>
          <c:showPercent val="0"/>
          <c:showBubbleSize val="0"/>
          <c:showLeaderLines val="1"/>
        </c:dLbls>
      </c:pie3DChart>
      <c:spPr>
        <a:noFill/>
        <a:ln w="25400">
          <a:noFill/>
        </a:ln>
      </c:spPr>
    </c:plotArea>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Pt>
            <c:idx val="0"/>
            <c:bubble3D val="0"/>
          </c:dPt>
          <c:dPt>
            <c:idx val="1"/>
            <c:bubble3D val="0"/>
          </c:dPt>
          <c:dPt>
            <c:idx val="2"/>
            <c:bubble3D val="0"/>
          </c:dPt>
          <c:dPt>
            <c:idx val="3"/>
            <c:bubble3D val="0"/>
          </c:dPt>
          <c:dLbls>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Лист2!$B$2:$B$6</c:f>
              <c:strCache>
                <c:ptCount val="5"/>
                <c:pt idx="0">
                  <c:v>позовної заяви майнового характеру</c:v>
                </c:pt>
                <c:pt idx="1">
                  <c:v>позовної заяви немайнового характеру</c:v>
                </c:pt>
                <c:pt idx="2">
                  <c:v>позовної заяви про розірвання шлюбу</c:v>
                </c:pt>
                <c:pt idx="3">
                  <c:v>заяви про видачу судового наказу</c:v>
                </c:pt>
                <c:pt idx="4">
                  <c:v>заяви у справах окремого провадження; заяви про забезпечення доказів або позову</c:v>
                </c:pt>
              </c:strCache>
            </c:strRef>
          </c:cat>
          <c:val>
            <c:numRef>
              <c:f>Лист2!$C$2:$C$6</c:f>
              <c:numCache>
                <c:formatCode>General</c:formatCode>
                <c:ptCount val="5"/>
                <c:pt idx="0">
                  <c:v>56.54</c:v>
                </c:pt>
                <c:pt idx="1">
                  <c:v>15.62</c:v>
                </c:pt>
                <c:pt idx="2">
                  <c:v>13.13</c:v>
                </c:pt>
                <c:pt idx="3">
                  <c:v>0.63</c:v>
                </c:pt>
                <c:pt idx="4">
                  <c:v>6.26</c:v>
                </c:pt>
              </c:numCache>
            </c:numRef>
          </c:val>
        </c:ser>
        <c:dLbls>
          <c:showLegendKey val="0"/>
          <c:showVal val="0"/>
          <c:showCatName val="0"/>
          <c:showSerName val="0"/>
          <c:showPercent val="0"/>
          <c:showBubbleSize val="0"/>
          <c:showLeaderLines val="1"/>
        </c:dLbls>
      </c:pie3DChart>
      <c:spPr>
        <a:noFill/>
        <a:ln w="25400">
          <a:noFill/>
        </a:ln>
      </c:spPr>
    </c:plotArea>
    <c:legend>
      <c:legendPos val="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надходження_1_16!$D$2</c:f>
              <c:strCache>
                <c:ptCount val="1"/>
                <c:pt idx="0">
                  <c:v>2018</c:v>
                </c:pt>
              </c:strCache>
            </c:strRef>
          </c:tx>
          <c:invertIfNegative val="0"/>
          <c:cat>
            <c:strRef>
              <c:f>надходження_1_16!$C$3:$C$31</c:f>
              <c:strCache>
                <c:ptCount val="29"/>
                <c:pt idx="0">
                  <c:v>Оратівський районний суд Вінницької області</c:v>
                </c:pt>
                <c:pt idx="1">
                  <c:v>Чернівецький районний суд Вінницької області</c:v>
                </c:pt>
                <c:pt idx="2">
                  <c:v>Теплицький районний суд Вінницької області</c:v>
                </c:pt>
                <c:pt idx="3">
                  <c:v>Чечельницький районний суд Вінницької області</c:v>
                </c:pt>
                <c:pt idx="4">
                  <c:v>Піщанський районний суд Вінницької області</c:v>
                </c:pt>
                <c:pt idx="5">
                  <c:v>Мурованокуриловецький районний суд Вінницької області</c:v>
                </c:pt>
                <c:pt idx="6">
                  <c:v>Тростянецький районний суд Вінницької області</c:v>
                </c:pt>
                <c:pt idx="7">
                  <c:v>Томашпільський районний суд Вінницької області</c:v>
                </c:pt>
                <c:pt idx="8">
                  <c:v>Шаргородський районний суд Вінницької області</c:v>
                </c:pt>
                <c:pt idx="9">
                  <c:v>Літинський районний суд Вінницької області</c:v>
                </c:pt>
                <c:pt idx="10">
                  <c:v>Крижопільський районний суд Вінницької області</c:v>
                </c:pt>
                <c:pt idx="11">
                  <c:v>Ладижинський районний суд Вінницької області</c:v>
                </c:pt>
                <c:pt idx="12">
                  <c:v>Іллінецький районний суд Вінницької області</c:v>
                </c:pt>
                <c:pt idx="13">
                  <c:v>Погребищенський районний суд Вінницької області</c:v>
                </c:pt>
                <c:pt idx="14">
                  <c:v>Липовецький районний суд Вінницької області</c:v>
                </c:pt>
                <c:pt idx="15">
                  <c:v>Ямпільський районний суд Вінницької області</c:v>
                </c:pt>
                <c:pt idx="16">
                  <c:v>Тиврівський районний суд Вінницької області</c:v>
                </c:pt>
                <c:pt idx="17">
                  <c:v>Барський районний суд Вінницької області</c:v>
                </c:pt>
                <c:pt idx="18">
                  <c:v>Могилів-Подільський міськрайонний суд Вінницької області</c:v>
                </c:pt>
                <c:pt idx="19">
                  <c:v>Тульчинський районний  суд Вінницької області</c:v>
                </c:pt>
                <c:pt idx="20">
                  <c:v>Хмільницький міськрайонний суд Вінницької області</c:v>
                </c:pt>
                <c:pt idx="21">
                  <c:v>Жмеринський міськрайонний суд Вінницької області</c:v>
                </c:pt>
                <c:pt idx="22">
                  <c:v>Вінницький районний суд Вінницької області</c:v>
                </c:pt>
                <c:pt idx="23">
                  <c:v>Бершадський районний суд Вінницької області</c:v>
                </c:pt>
                <c:pt idx="24">
                  <c:v>Немирівський районний суд Вінницької області</c:v>
                </c:pt>
                <c:pt idx="25">
                  <c:v>Козятинський міськрайонний суд Вінницької області</c:v>
                </c:pt>
                <c:pt idx="26">
                  <c:v>Калинівський районний суд Вінницької області</c:v>
                </c:pt>
                <c:pt idx="27">
                  <c:v>Гайсинський районний суд Вінницької області</c:v>
                </c:pt>
                <c:pt idx="28">
                  <c:v>Вінницький міський суд Вінницької області</c:v>
                </c:pt>
              </c:strCache>
            </c:strRef>
          </c:cat>
          <c:val>
            <c:numRef>
              <c:f>надходження_1_16!$D$3:$D$31</c:f>
              <c:numCache>
                <c:formatCode>General</c:formatCode>
                <c:ptCount val="29"/>
                <c:pt idx="0">
                  <c:v>863</c:v>
                </c:pt>
                <c:pt idx="1">
                  <c:v>1017</c:v>
                </c:pt>
                <c:pt idx="2">
                  <c:v>623</c:v>
                </c:pt>
                <c:pt idx="3">
                  <c:v>1326</c:v>
                </c:pt>
                <c:pt idx="4">
                  <c:v>1329</c:v>
                </c:pt>
                <c:pt idx="5">
                  <c:v>1307</c:v>
                </c:pt>
                <c:pt idx="6">
                  <c:v>1013</c:v>
                </c:pt>
                <c:pt idx="7">
                  <c:v>1846</c:v>
                </c:pt>
                <c:pt idx="8">
                  <c:v>2065</c:v>
                </c:pt>
                <c:pt idx="9">
                  <c:v>2622</c:v>
                </c:pt>
                <c:pt idx="10">
                  <c:v>1870</c:v>
                </c:pt>
                <c:pt idx="11">
                  <c:v>2441</c:v>
                </c:pt>
                <c:pt idx="12">
                  <c:v>2328</c:v>
                </c:pt>
                <c:pt idx="13">
                  <c:v>2273</c:v>
                </c:pt>
                <c:pt idx="14">
                  <c:v>2804</c:v>
                </c:pt>
                <c:pt idx="15">
                  <c:v>2300</c:v>
                </c:pt>
                <c:pt idx="16">
                  <c:v>2820</c:v>
                </c:pt>
                <c:pt idx="17">
                  <c:v>3003</c:v>
                </c:pt>
                <c:pt idx="18">
                  <c:v>3424</c:v>
                </c:pt>
                <c:pt idx="19">
                  <c:v>3636</c:v>
                </c:pt>
                <c:pt idx="20">
                  <c:v>3110</c:v>
                </c:pt>
                <c:pt idx="21">
                  <c:v>3930</c:v>
                </c:pt>
                <c:pt idx="22">
                  <c:v>3826</c:v>
                </c:pt>
                <c:pt idx="23">
                  <c:v>4489</c:v>
                </c:pt>
                <c:pt idx="24">
                  <c:v>3671</c:v>
                </c:pt>
                <c:pt idx="25">
                  <c:v>4337</c:v>
                </c:pt>
                <c:pt idx="26">
                  <c:v>5504</c:v>
                </c:pt>
                <c:pt idx="27">
                  <c:v>4543</c:v>
                </c:pt>
                <c:pt idx="28">
                  <c:v>37651</c:v>
                </c:pt>
              </c:numCache>
            </c:numRef>
          </c:val>
        </c:ser>
        <c:ser>
          <c:idx val="1"/>
          <c:order val="1"/>
          <c:tx>
            <c:strRef>
              <c:f>надходження_1_16!$E$2</c:f>
              <c:strCache>
                <c:ptCount val="1"/>
                <c:pt idx="0">
                  <c:v>2019</c:v>
                </c:pt>
              </c:strCache>
            </c:strRef>
          </c:tx>
          <c:invertIfNegative val="0"/>
          <c:cat>
            <c:strRef>
              <c:f>надходження_1_16!$C$3:$C$31</c:f>
              <c:strCache>
                <c:ptCount val="29"/>
                <c:pt idx="0">
                  <c:v>Оратівський районний суд Вінницької області</c:v>
                </c:pt>
                <c:pt idx="1">
                  <c:v>Чернівецький районний суд Вінницької області</c:v>
                </c:pt>
                <c:pt idx="2">
                  <c:v>Теплицький районний суд Вінницької області</c:v>
                </c:pt>
                <c:pt idx="3">
                  <c:v>Чечельницький районний суд Вінницької області</c:v>
                </c:pt>
                <c:pt idx="4">
                  <c:v>Піщанський районний суд Вінницької області</c:v>
                </c:pt>
                <c:pt idx="5">
                  <c:v>Мурованокуриловецький районний суд Вінницької області</c:v>
                </c:pt>
                <c:pt idx="6">
                  <c:v>Тростянецький районний суд Вінницької області</c:v>
                </c:pt>
                <c:pt idx="7">
                  <c:v>Томашпільський районний суд Вінницької області</c:v>
                </c:pt>
                <c:pt idx="8">
                  <c:v>Шаргородський районний суд Вінницької області</c:v>
                </c:pt>
                <c:pt idx="9">
                  <c:v>Літинський районний суд Вінницької області</c:v>
                </c:pt>
                <c:pt idx="10">
                  <c:v>Крижопільський районний суд Вінницької області</c:v>
                </c:pt>
                <c:pt idx="11">
                  <c:v>Ладижинський районний суд Вінницької області</c:v>
                </c:pt>
                <c:pt idx="12">
                  <c:v>Іллінецький районний суд Вінницької області</c:v>
                </c:pt>
                <c:pt idx="13">
                  <c:v>Погребищенський районний суд Вінницької області</c:v>
                </c:pt>
                <c:pt idx="14">
                  <c:v>Липовецький районний суд Вінницької області</c:v>
                </c:pt>
                <c:pt idx="15">
                  <c:v>Ямпільський районний суд Вінницької області</c:v>
                </c:pt>
                <c:pt idx="16">
                  <c:v>Тиврівський районний суд Вінницької області</c:v>
                </c:pt>
                <c:pt idx="17">
                  <c:v>Барський районний суд Вінницької області</c:v>
                </c:pt>
                <c:pt idx="18">
                  <c:v>Могилів-Подільський міськрайонний суд Вінницької області</c:v>
                </c:pt>
                <c:pt idx="19">
                  <c:v>Тульчинський районний  суд Вінницької області</c:v>
                </c:pt>
                <c:pt idx="20">
                  <c:v>Хмільницький міськрайонний суд Вінницької області</c:v>
                </c:pt>
                <c:pt idx="21">
                  <c:v>Жмеринський міськрайонний суд Вінницької області</c:v>
                </c:pt>
                <c:pt idx="22">
                  <c:v>Вінницький районний суд Вінницької області</c:v>
                </c:pt>
                <c:pt idx="23">
                  <c:v>Бершадський районний суд Вінницької області</c:v>
                </c:pt>
                <c:pt idx="24">
                  <c:v>Немирівський районний суд Вінницької області</c:v>
                </c:pt>
                <c:pt idx="25">
                  <c:v>Козятинський міськрайонний суд Вінницької області</c:v>
                </c:pt>
                <c:pt idx="26">
                  <c:v>Калинівський районний суд Вінницької області</c:v>
                </c:pt>
                <c:pt idx="27">
                  <c:v>Гайсинський районний суд Вінницької області</c:v>
                </c:pt>
                <c:pt idx="28">
                  <c:v>Вінницький міський суд Вінницької області</c:v>
                </c:pt>
              </c:strCache>
            </c:strRef>
          </c:cat>
          <c:val>
            <c:numRef>
              <c:f>надходження_1_16!$E$3:$E$31</c:f>
              <c:numCache>
                <c:formatCode>General</c:formatCode>
                <c:ptCount val="29"/>
                <c:pt idx="0">
                  <c:v>229</c:v>
                </c:pt>
                <c:pt idx="1">
                  <c:v>903</c:v>
                </c:pt>
                <c:pt idx="2">
                  <c:v>921</c:v>
                </c:pt>
                <c:pt idx="3">
                  <c:v>1058</c:v>
                </c:pt>
                <c:pt idx="4">
                  <c:v>1134</c:v>
                </c:pt>
                <c:pt idx="5">
                  <c:v>1245</c:v>
                </c:pt>
                <c:pt idx="6">
                  <c:v>1654</c:v>
                </c:pt>
                <c:pt idx="7">
                  <c:v>1749</c:v>
                </c:pt>
                <c:pt idx="8">
                  <c:v>1830</c:v>
                </c:pt>
                <c:pt idx="9">
                  <c:v>1872</c:v>
                </c:pt>
                <c:pt idx="10">
                  <c:v>1957</c:v>
                </c:pt>
                <c:pt idx="11">
                  <c:v>2004</c:v>
                </c:pt>
                <c:pt idx="12">
                  <c:v>2146</c:v>
                </c:pt>
                <c:pt idx="13">
                  <c:v>2156</c:v>
                </c:pt>
                <c:pt idx="14">
                  <c:v>2308</c:v>
                </c:pt>
                <c:pt idx="15">
                  <c:v>2401</c:v>
                </c:pt>
                <c:pt idx="16">
                  <c:v>2618</c:v>
                </c:pt>
                <c:pt idx="17">
                  <c:v>3179</c:v>
                </c:pt>
                <c:pt idx="18">
                  <c:v>3204</c:v>
                </c:pt>
                <c:pt idx="19">
                  <c:v>3384</c:v>
                </c:pt>
                <c:pt idx="20">
                  <c:v>3407</c:v>
                </c:pt>
                <c:pt idx="21">
                  <c:v>3790</c:v>
                </c:pt>
                <c:pt idx="22">
                  <c:v>4045</c:v>
                </c:pt>
                <c:pt idx="23">
                  <c:v>4139</c:v>
                </c:pt>
                <c:pt idx="24">
                  <c:v>4187</c:v>
                </c:pt>
                <c:pt idx="25">
                  <c:v>4532</c:v>
                </c:pt>
                <c:pt idx="26">
                  <c:v>5121</c:v>
                </c:pt>
                <c:pt idx="27">
                  <c:v>5289</c:v>
                </c:pt>
                <c:pt idx="28">
                  <c:v>38789</c:v>
                </c:pt>
              </c:numCache>
            </c:numRef>
          </c:val>
        </c:ser>
        <c:dLbls>
          <c:showLegendKey val="0"/>
          <c:showVal val="0"/>
          <c:showCatName val="0"/>
          <c:showSerName val="0"/>
          <c:showPercent val="0"/>
          <c:showBubbleSize val="0"/>
        </c:dLbls>
        <c:gapWidth val="150"/>
        <c:axId val="241371392"/>
        <c:axId val="241377280"/>
      </c:barChart>
      <c:catAx>
        <c:axId val="241371392"/>
        <c:scaling>
          <c:orientation val="minMax"/>
        </c:scaling>
        <c:delete val="0"/>
        <c:axPos val="l"/>
        <c:numFmt formatCode="General" sourceLinked="1"/>
        <c:majorTickMark val="out"/>
        <c:minorTickMark val="none"/>
        <c:tickLblPos val="nextTo"/>
        <c:crossAx val="241377280"/>
        <c:crosses val="autoZero"/>
        <c:auto val="1"/>
        <c:lblAlgn val="ctr"/>
        <c:lblOffset val="100"/>
        <c:noMultiLvlLbl val="0"/>
      </c:catAx>
      <c:valAx>
        <c:axId val="241377280"/>
        <c:scaling>
          <c:orientation val="minMax"/>
        </c:scaling>
        <c:delete val="0"/>
        <c:axPos val="b"/>
        <c:majorGridlines/>
        <c:numFmt formatCode="General" sourceLinked="1"/>
        <c:majorTickMark val="out"/>
        <c:minorTickMark val="none"/>
        <c:tickLblPos val="nextTo"/>
        <c:crossAx val="24137139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Calibri"/>
                <a:ea typeface="Calibri"/>
                <a:cs typeface="Calibri"/>
              </a:defRPr>
            </a:pPr>
            <a:r>
              <a:rPr lang="uk-UA"/>
              <a:t>Середньомісячне надходження справ і матеріалів на одного суддю місцевого загального суду</a:t>
            </a:r>
          </a:p>
        </c:rich>
      </c:tx>
      <c:overlay val="0"/>
    </c:title>
    <c:autoTitleDeleted val="0"/>
    <c:plotArea>
      <c:layout>
        <c:manualLayout>
          <c:layoutTarget val="inner"/>
          <c:xMode val="edge"/>
          <c:yMode val="edge"/>
          <c:x val="0.40807368778657177"/>
          <c:y val="8.0753470338180228E-2"/>
          <c:w val="0.55034190879870915"/>
          <c:h val="0.8535060517703893"/>
        </c:manualLayout>
      </c:layout>
      <c:barChart>
        <c:barDir val="bar"/>
        <c:grouping val="clustered"/>
        <c:varyColors val="0"/>
        <c:ser>
          <c:idx val="0"/>
          <c:order val="0"/>
          <c:tx>
            <c:strRef>
              <c:f>навантаження_1_2016!$D$3</c:f>
              <c:strCache>
                <c:ptCount val="1"/>
                <c:pt idx="0">
                  <c:v>2018</c:v>
                </c:pt>
              </c:strCache>
            </c:strRef>
          </c:tx>
          <c:invertIfNegative val="0"/>
          <c:cat>
            <c:strRef>
              <c:f>навантаження_1_2016!$C$4:$C$32</c:f>
              <c:strCache>
                <c:ptCount val="29"/>
                <c:pt idx="0">
                  <c:v>Оратівський районний суд Вінницької області</c:v>
                </c:pt>
                <c:pt idx="1">
                  <c:v>Теплицький районний суд Вінницької області</c:v>
                </c:pt>
                <c:pt idx="2">
                  <c:v>Чернівецький районний суд Вінницької області</c:v>
                </c:pt>
                <c:pt idx="3">
                  <c:v>Чечельницький районний суд Вінницької області</c:v>
                </c:pt>
                <c:pt idx="4">
                  <c:v>Піщанський районний суд Вінницької області</c:v>
                </c:pt>
                <c:pt idx="5">
                  <c:v>Тростянецький районний суд Вінницької області</c:v>
                </c:pt>
                <c:pt idx="6">
                  <c:v>Мурованокуриловецький районний суд Вінницької області</c:v>
                </c:pt>
                <c:pt idx="7">
                  <c:v>Томашпільський районний суд Вінницької області</c:v>
                </c:pt>
                <c:pt idx="8">
                  <c:v>Шаргородський районний суд Вінницької області</c:v>
                </c:pt>
                <c:pt idx="9">
                  <c:v>Літинський районний суд Вінницької області</c:v>
                </c:pt>
                <c:pt idx="10">
                  <c:v>Жмеринський міськрайонний суд Вінницької області</c:v>
                </c:pt>
                <c:pt idx="11">
                  <c:v>Хмільницький міськрайонний суд Вінницької області</c:v>
                </c:pt>
                <c:pt idx="12">
                  <c:v>Крижопільський районний суд Вінницької області</c:v>
                </c:pt>
                <c:pt idx="13">
                  <c:v>Вінницький районний суд Вінницької області</c:v>
                </c:pt>
                <c:pt idx="14">
                  <c:v>Могилів-Подільський міськрайонний суд Вінницької області</c:v>
                </c:pt>
                <c:pt idx="15">
                  <c:v>Іллінецький районний суд Вінницької області</c:v>
                </c:pt>
                <c:pt idx="16">
                  <c:v>Погребищенський районний суд Вінницької області</c:v>
                </c:pt>
                <c:pt idx="17">
                  <c:v>Козятинський міськрайонний суд Вінницької області</c:v>
                </c:pt>
                <c:pt idx="18">
                  <c:v>Липовецький районний суд Вінницької області</c:v>
                </c:pt>
                <c:pt idx="19">
                  <c:v>Ямпільський районний суд Вінницької області</c:v>
                </c:pt>
                <c:pt idx="20">
                  <c:v>Барський районний суд Вінницької області</c:v>
                </c:pt>
                <c:pt idx="21">
                  <c:v>Тиврівський районний суд Вінницької області</c:v>
                </c:pt>
                <c:pt idx="22">
                  <c:v>Ладижинський районний суд Вінницької області</c:v>
                </c:pt>
                <c:pt idx="23">
                  <c:v>Тульчинський районний  суд Вінницької області</c:v>
                </c:pt>
                <c:pt idx="24">
                  <c:v>Бершадський районний суд Вінницької області</c:v>
                </c:pt>
                <c:pt idx="25">
                  <c:v>Немирівський районний суд Вінницької області</c:v>
                </c:pt>
                <c:pt idx="26">
                  <c:v>Калинівський районний суд Вінницької області</c:v>
                </c:pt>
                <c:pt idx="27">
                  <c:v>Гайсинський районний суд Вінницької області</c:v>
                </c:pt>
                <c:pt idx="28">
                  <c:v>Вінницький міський суд Вінницької області</c:v>
                </c:pt>
              </c:strCache>
            </c:strRef>
          </c:cat>
          <c:val>
            <c:numRef>
              <c:f>навантаження_1_2016!$D$4:$D$32</c:f>
              <c:numCache>
                <c:formatCode>#,##0.00</c:formatCode>
                <c:ptCount val="29"/>
                <c:pt idx="0">
                  <c:v>26.151515151515152</c:v>
                </c:pt>
                <c:pt idx="1">
                  <c:v>14.159090909090908</c:v>
                </c:pt>
                <c:pt idx="2">
                  <c:v>30.818181818181817</c:v>
                </c:pt>
                <c:pt idx="3">
                  <c:v>40.18181818181818</c:v>
                </c:pt>
                <c:pt idx="4">
                  <c:v>40.272727272727273</c:v>
                </c:pt>
                <c:pt idx="5">
                  <c:v>23.022727272727273</c:v>
                </c:pt>
                <c:pt idx="6">
                  <c:v>39.606060606060609</c:v>
                </c:pt>
                <c:pt idx="7">
                  <c:v>41.954545454545453</c:v>
                </c:pt>
                <c:pt idx="8">
                  <c:v>46.93181818181818</c:v>
                </c:pt>
                <c:pt idx="9">
                  <c:v>59.590909090909093</c:v>
                </c:pt>
                <c:pt idx="10">
                  <c:v>44.659090909090907</c:v>
                </c:pt>
                <c:pt idx="11">
                  <c:v>40.38961038961039</c:v>
                </c:pt>
                <c:pt idx="12">
                  <c:v>42.5</c:v>
                </c:pt>
                <c:pt idx="13">
                  <c:v>43.477272727272727</c:v>
                </c:pt>
                <c:pt idx="14">
                  <c:v>51.878787878787875</c:v>
                </c:pt>
                <c:pt idx="15">
                  <c:v>52.909090909090907</c:v>
                </c:pt>
                <c:pt idx="16">
                  <c:v>51.659090909090907</c:v>
                </c:pt>
                <c:pt idx="17">
                  <c:v>49.284090909090907</c:v>
                </c:pt>
                <c:pt idx="18">
                  <c:v>63.727272727272727</c:v>
                </c:pt>
                <c:pt idx="19">
                  <c:v>52.272727272727273</c:v>
                </c:pt>
                <c:pt idx="20">
                  <c:v>54.6</c:v>
                </c:pt>
                <c:pt idx="21">
                  <c:v>64.090909090909093</c:v>
                </c:pt>
                <c:pt idx="22">
                  <c:v>73.969696969696969</c:v>
                </c:pt>
                <c:pt idx="23">
                  <c:v>66.109090909090909</c:v>
                </c:pt>
                <c:pt idx="24">
                  <c:v>68.015151515151516</c:v>
                </c:pt>
                <c:pt idx="25">
                  <c:v>55.621212121212125</c:v>
                </c:pt>
                <c:pt idx="26">
                  <c:v>83.393939393939391</c:v>
                </c:pt>
                <c:pt idx="27">
                  <c:v>68.833333333333329</c:v>
                </c:pt>
                <c:pt idx="28">
                  <c:v>79.600422832980968</c:v>
                </c:pt>
              </c:numCache>
            </c:numRef>
          </c:val>
        </c:ser>
        <c:ser>
          <c:idx val="1"/>
          <c:order val="1"/>
          <c:tx>
            <c:strRef>
              <c:f>навантаження_1_2016!$E$3</c:f>
              <c:strCache>
                <c:ptCount val="1"/>
                <c:pt idx="0">
                  <c:v>2019</c:v>
                </c:pt>
              </c:strCache>
            </c:strRef>
          </c:tx>
          <c:invertIfNegative val="0"/>
          <c:cat>
            <c:strRef>
              <c:f>навантаження_1_2016!$C$4:$C$32</c:f>
              <c:strCache>
                <c:ptCount val="29"/>
                <c:pt idx="0">
                  <c:v>Оратівський районний суд Вінницької області</c:v>
                </c:pt>
                <c:pt idx="1">
                  <c:v>Теплицький районний суд Вінницької області</c:v>
                </c:pt>
                <c:pt idx="2">
                  <c:v>Чернівецький районний суд Вінницької області</c:v>
                </c:pt>
                <c:pt idx="3">
                  <c:v>Чечельницький районний суд Вінницької області</c:v>
                </c:pt>
                <c:pt idx="4">
                  <c:v>Піщанський районний суд Вінницької області</c:v>
                </c:pt>
                <c:pt idx="5">
                  <c:v>Тростянецький районний суд Вінницької області</c:v>
                </c:pt>
                <c:pt idx="6">
                  <c:v>Мурованокуриловецький районний суд Вінницької області</c:v>
                </c:pt>
                <c:pt idx="7">
                  <c:v>Томашпільський районний суд Вінницької області</c:v>
                </c:pt>
                <c:pt idx="8">
                  <c:v>Шаргородський районний суд Вінницької області</c:v>
                </c:pt>
                <c:pt idx="9">
                  <c:v>Літинський районний суд Вінницької області</c:v>
                </c:pt>
                <c:pt idx="10">
                  <c:v>Жмеринський міськрайонний суд Вінницької області</c:v>
                </c:pt>
                <c:pt idx="11">
                  <c:v>Хмільницький міськрайонний суд Вінницької області</c:v>
                </c:pt>
                <c:pt idx="12">
                  <c:v>Крижопільський районний суд Вінницької області</c:v>
                </c:pt>
                <c:pt idx="13">
                  <c:v>Вінницький районний суд Вінницької області</c:v>
                </c:pt>
                <c:pt idx="14">
                  <c:v>Могилів-Подільський міськрайонний суд Вінницької області</c:v>
                </c:pt>
                <c:pt idx="15">
                  <c:v>Іллінецький районний суд Вінницької області</c:v>
                </c:pt>
                <c:pt idx="16">
                  <c:v>Погребищенський районний суд Вінницької області</c:v>
                </c:pt>
                <c:pt idx="17">
                  <c:v>Козятинський міськрайонний суд Вінницької області</c:v>
                </c:pt>
                <c:pt idx="18">
                  <c:v>Липовецький районний суд Вінницької області</c:v>
                </c:pt>
                <c:pt idx="19">
                  <c:v>Ямпільський районний суд Вінницької області</c:v>
                </c:pt>
                <c:pt idx="20">
                  <c:v>Барський районний суд Вінницької області</c:v>
                </c:pt>
                <c:pt idx="21">
                  <c:v>Тиврівський районний суд Вінницької області</c:v>
                </c:pt>
                <c:pt idx="22">
                  <c:v>Ладижинський районний суд Вінницької області</c:v>
                </c:pt>
                <c:pt idx="23">
                  <c:v>Тульчинський районний  суд Вінницької області</c:v>
                </c:pt>
                <c:pt idx="24">
                  <c:v>Бершадський районний суд Вінницької області</c:v>
                </c:pt>
                <c:pt idx="25">
                  <c:v>Немирівський районний суд Вінницької області</c:v>
                </c:pt>
                <c:pt idx="26">
                  <c:v>Калинівський районний суд Вінницької області</c:v>
                </c:pt>
                <c:pt idx="27">
                  <c:v>Гайсинський районний суд Вінницької області</c:v>
                </c:pt>
                <c:pt idx="28">
                  <c:v>Вінницький міський суд Вінницької області</c:v>
                </c:pt>
              </c:strCache>
            </c:strRef>
          </c:cat>
          <c:val>
            <c:numRef>
              <c:f>навантаження_1_2016!$E$4:$E$32</c:f>
              <c:numCache>
                <c:formatCode>#,##0.00</c:formatCode>
                <c:ptCount val="29"/>
                <c:pt idx="0">
                  <c:v>6.9393939393939386</c:v>
                </c:pt>
                <c:pt idx="1">
                  <c:v>20.931818181818183</c:v>
                </c:pt>
                <c:pt idx="2">
                  <c:v>27.363636363636363</c:v>
                </c:pt>
                <c:pt idx="3">
                  <c:v>32.060606060606062</c:v>
                </c:pt>
                <c:pt idx="4">
                  <c:v>34.363636363636367</c:v>
                </c:pt>
                <c:pt idx="5">
                  <c:v>37.590909090909093</c:v>
                </c:pt>
                <c:pt idx="6">
                  <c:v>37.727272727272727</c:v>
                </c:pt>
                <c:pt idx="7">
                  <c:v>39.75</c:v>
                </c:pt>
                <c:pt idx="8">
                  <c:v>41.590909090909093</c:v>
                </c:pt>
                <c:pt idx="9">
                  <c:v>42.545454545454547</c:v>
                </c:pt>
                <c:pt idx="10">
                  <c:v>43.06818181818182</c:v>
                </c:pt>
                <c:pt idx="11">
                  <c:v>44.233766233766232</c:v>
                </c:pt>
                <c:pt idx="12">
                  <c:v>44.477272727272727</c:v>
                </c:pt>
                <c:pt idx="13">
                  <c:v>45.965909090909093</c:v>
                </c:pt>
                <c:pt idx="14">
                  <c:v>48.545454545454547</c:v>
                </c:pt>
                <c:pt idx="15">
                  <c:v>48.772727272727273</c:v>
                </c:pt>
                <c:pt idx="16">
                  <c:v>49</c:v>
                </c:pt>
                <c:pt idx="17">
                  <c:v>51.5</c:v>
                </c:pt>
                <c:pt idx="18">
                  <c:v>52.454545454545453</c:v>
                </c:pt>
                <c:pt idx="19">
                  <c:v>54.56818181818182</c:v>
                </c:pt>
                <c:pt idx="20">
                  <c:v>57.8</c:v>
                </c:pt>
                <c:pt idx="21">
                  <c:v>59.5</c:v>
                </c:pt>
                <c:pt idx="22">
                  <c:v>60.727272727272727</c:v>
                </c:pt>
                <c:pt idx="23">
                  <c:v>61.527272727272724</c:v>
                </c:pt>
                <c:pt idx="24">
                  <c:v>62.712121212121218</c:v>
                </c:pt>
                <c:pt idx="25">
                  <c:v>63.439393939393945</c:v>
                </c:pt>
                <c:pt idx="26">
                  <c:v>77.590909090909093</c:v>
                </c:pt>
                <c:pt idx="27">
                  <c:v>80.242424242424235</c:v>
                </c:pt>
                <c:pt idx="28">
                  <c:v>82.012684989429175</c:v>
                </c:pt>
              </c:numCache>
            </c:numRef>
          </c:val>
        </c:ser>
        <c:dLbls>
          <c:showLegendKey val="0"/>
          <c:showVal val="0"/>
          <c:showCatName val="0"/>
          <c:showSerName val="0"/>
          <c:showPercent val="0"/>
          <c:showBubbleSize val="0"/>
        </c:dLbls>
        <c:gapWidth val="150"/>
        <c:axId val="241361280"/>
        <c:axId val="241362816"/>
      </c:barChart>
      <c:catAx>
        <c:axId val="241361280"/>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241362816"/>
        <c:crosses val="autoZero"/>
        <c:auto val="1"/>
        <c:lblAlgn val="ctr"/>
        <c:lblOffset val="100"/>
        <c:noMultiLvlLbl val="0"/>
      </c:catAx>
      <c:valAx>
        <c:axId val="241362816"/>
        <c:scaling>
          <c:orientation val="minMax"/>
          <c:max val="90"/>
          <c:min val="0"/>
        </c:scaling>
        <c:delete val="0"/>
        <c:axPos val="b"/>
        <c:minorGridlines/>
        <c:numFmt formatCode="#,##0.00" sourceLinked="1"/>
        <c:majorTickMark val="out"/>
        <c:minorTickMark val="none"/>
        <c:tickLblPos val="nextTo"/>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rot="0" vert="horz"/>
          <a:lstStyle/>
          <a:p>
            <a:pPr>
              <a:defRPr sz="1200" b="0" i="0" u="none" strike="noStrike" baseline="0">
                <a:solidFill>
                  <a:srgbClr val="000000"/>
                </a:solidFill>
                <a:latin typeface="Calibri"/>
                <a:ea typeface="Calibri"/>
                <a:cs typeface="Calibri"/>
              </a:defRPr>
            </a:pPr>
            <a:endParaRPr lang="ru-RU"/>
          </a:p>
        </c:txPr>
        <c:crossAx val="241361280"/>
        <c:crosses val="autoZero"/>
        <c:crossBetween val="between"/>
        <c:majorUnit val="10"/>
        <c:minorUnit val="5"/>
      </c:valAx>
    </c:plotArea>
    <c:legend>
      <c:legendPos val="b"/>
      <c:layout>
        <c:manualLayout>
          <c:xMode val="edge"/>
          <c:yMode val="edge"/>
          <c:wMode val="edge"/>
          <c:hMode val="edge"/>
          <c:x val="7.0773657109655191E-2"/>
          <c:y val="0.95653099005257569"/>
          <c:w val="0.35372146420628719"/>
          <c:h val="0.9863867565143698"/>
        </c:manualLayout>
      </c:layout>
      <c:overlay val="0"/>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289248428033408E-2"/>
          <c:y val="1.8202892423681939E-2"/>
          <c:w val="0.91651077119616453"/>
          <c:h val="0.92198606046727383"/>
        </c:manualLayout>
      </c:layout>
      <c:lineChart>
        <c:grouping val="standard"/>
        <c:varyColors val="0"/>
        <c:ser>
          <c:idx val="0"/>
          <c:order val="0"/>
          <c:marker>
            <c:spPr>
              <a:solidFill>
                <a:srgbClr val="0070C0"/>
              </a:solidFill>
            </c:spPr>
          </c:marker>
          <c:dPt>
            <c:idx val="7"/>
            <c:marker>
              <c:spPr>
                <a:solidFill>
                  <a:schemeClr val="tx2">
                    <a:lumMod val="75000"/>
                  </a:schemeClr>
                </a:solidFill>
              </c:spPr>
            </c:marker>
            <c:bubble3D val="0"/>
            <c:spPr/>
          </c:dPt>
          <c:cat>
            <c:numRef>
              <c:f>Лист1!$B$2:$O$2</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Лист1!$B$3:$O$3</c:f>
              <c:numCache>
                <c:formatCode>General</c:formatCode>
                <c:ptCount val="14"/>
                <c:pt idx="0">
                  <c:v>125</c:v>
                </c:pt>
                <c:pt idx="1">
                  <c:v>150</c:v>
                </c:pt>
                <c:pt idx="2">
                  <c:v>154.69</c:v>
                </c:pt>
                <c:pt idx="3">
                  <c:v>80.430000000000007</c:v>
                </c:pt>
                <c:pt idx="4">
                  <c:v>93.3</c:v>
                </c:pt>
                <c:pt idx="5">
                  <c:v>164.51</c:v>
                </c:pt>
                <c:pt idx="6">
                  <c:v>63</c:v>
                </c:pt>
                <c:pt idx="7">
                  <c:v>58.67</c:v>
                </c:pt>
                <c:pt idx="8">
                  <c:v>55.3</c:v>
                </c:pt>
                <c:pt idx="9">
                  <c:v>51.52</c:v>
                </c:pt>
                <c:pt idx="10">
                  <c:v>50.75</c:v>
                </c:pt>
                <c:pt idx="11">
                  <c:v>49.61</c:v>
                </c:pt>
                <c:pt idx="12">
                  <c:v>57.83</c:v>
                </c:pt>
                <c:pt idx="13">
                  <c:v>57.47</c:v>
                </c:pt>
              </c:numCache>
            </c:numRef>
          </c:val>
          <c:smooth val="0"/>
        </c:ser>
        <c:dLbls>
          <c:showLegendKey val="0"/>
          <c:showVal val="0"/>
          <c:showCatName val="0"/>
          <c:showSerName val="0"/>
          <c:showPercent val="0"/>
          <c:showBubbleSize val="0"/>
        </c:dLbls>
        <c:marker val="1"/>
        <c:smooth val="0"/>
        <c:axId val="43689856"/>
        <c:axId val="43691392"/>
      </c:lineChart>
      <c:catAx>
        <c:axId val="43689856"/>
        <c:scaling>
          <c:orientation val="minMax"/>
        </c:scaling>
        <c:delete val="0"/>
        <c:axPos val="b"/>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43691392"/>
        <c:crosses val="autoZero"/>
        <c:auto val="1"/>
        <c:lblAlgn val="ctr"/>
        <c:lblOffset val="100"/>
        <c:noMultiLvlLbl val="0"/>
      </c:catAx>
      <c:valAx>
        <c:axId val="43691392"/>
        <c:scaling>
          <c:orientation val="minMax"/>
        </c:scaling>
        <c:delete val="0"/>
        <c:axPos val="l"/>
        <c:majorGridlines/>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43689856"/>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Кількість розглянутих адміністративних справ місцевими загальними судами Вінницької області</a:t>
            </a:r>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Лист1!$B$2:$B$30</c:f>
              <c:strCache>
                <c:ptCount val="29"/>
                <c:pt idx="0">
                  <c:v>Вінницький міський суд </c:v>
                </c:pt>
                <c:pt idx="1">
                  <c:v>Хмільницький міськрайонний суд </c:v>
                </c:pt>
                <c:pt idx="2">
                  <c:v>Вінницький районний суд </c:v>
                </c:pt>
                <c:pt idx="3">
                  <c:v>Калинівський районний суд</c:v>
                </c:pt>
                <c:pt idx="4">
                  <c:v>Літинський районний суд </c:v>
                </c:pt>
                <c:pt idx="5">
                  <c:v>Бершадський районний суд </c:v>
                </c:pt>
                <c:pt idx="6">
                  <c:v>Могилів-Подільський міськрайонний суд </c:v>
                </c:pt>
                <c:pt idx="7">
                  <c:v>Ямпільський районний суд </c:v>
                </c:pt>
                <c:pt idx="8">
                  <c:v>Барський районний суд </c:v>
                </c:pt>
                <c:pt idx="9">
                  <c:v>Козятинський міськрайонний суд </c:v>
                </c:pt>
                <c:pt idx="10">
                  <c:v>Ладижинський міський суд </c:v>
                </c:pt>
                <c:pt idx="11">
                  <c:v>Липовецький районний суд </c:v>
                </c:pt>
                <c:pt idx="12">
                  <c:v>Томашпільський районний суд </c:v>
                </c:pt>
                <c:pt idx="13">
                  <c:v>Немирівський районний суд </c:v>
                </c:pt>
                <c:pt idx="14">
                  <c:v>Тульчинський районний суд </c:v>
                </c:pt>
                <c:pt idx="15">
                  <c:v>Гайсинський районний суд </c:v>
                </c:pt>
                <c:pt idx="16">
                  <c:v>Жмеринський міськрайонний суд </c:v>
                </c:pt>
                <c:pt idx="17">
                  <c:v>Тростянецький районний суд </c:v>
                </c:pt>
                <c:pt idx="18">
                  <c:v>Іллінецький районний суд </c:v>
                </c:pt>
                <c:pt idx="19">
                  <c:v>Погребищенський районний суд </c:v>
                </c:pt>
                <c:pt idx="20">
                  <c:v>Тиврівський районний суд </c:v>
                </c:pt>
                <c:pt idx="21">
                  <c:v>Чечельницький районний суд</c:v>
                </c:pt>
                <c:pt idx="22">
                  <c:v>Крижопільський районний суд </c:v>
                </c:pt>
                <c:pt idx="23">
                  <c:v>Піщанський районний суд </c:v>
                </c:pt>
                <c:pt idx="24">
                  <c:v>Мурованокуриловецький районний суд </c:v>
                </c:pt>
                <c:pt idx="25">
                  <c:v>Шаргородський районний суд </c:v>
                </c:pt>
                <c:pt idx="26">
                  <c:v>Чернівецький районний суд </c:v>
                </c:pt>
                <c:pt idx="27">
                  <c:v>Теплицький районний суд </c:v>
                </c:pt>
                <c:pt idx="28">
                  <c:v>Оратівський районний суд </c:v>
                </c:pt>
              </c:strCache>
            </c:strRef>
          </c:cat>
          <c:val>
            <c:numRef>
              <c:f>Лист1!$C$2:$C$30</c:f>
              <c:numCache>
                <c:formatCode>#,##0</c:formatCode>
                <c:ptCount val="29"/>
                <c:pt idx="0">
                  <c:v>485</c:v>
                </c:pt>
                <c:pt idx="1">
                  <c:v>60</c:v>
                </c:pt>
                <c:pt idx="2">
                  <c:v>54</c:v>
                </c:pt>
                <c:pt idx="3">
                  <c:v>53</c:v>
                </c:pt>
                <c:pt idx="4">
                  <c:v>41</c:v>
                </c:pt>
                <c:pt idx="5">
                  <c:v>35</c:v>
                </c:pt>
                <c:pt idx="6">
                  <c:v>31</c:v>
                </c:pt>
                <c:pt idx="7">
                  <c:v>31</c:v>
                </c:pt>
                <c:pt idx="8">
                  <c:v>30</c:v>
                </c:pt>
                <c:pt idx="9">
                  <c:v>27</c:v>
                </c:pt>
                <c:pt idx="10">
                  <c:v>26</c:v>
                </c:pt>
                <c:pt idx="11">
                  <c:v>26</c:v>
                </c:pt>
                <c:pt idx="12">
                  <c:v>23</c:v>
                </c:pt>
                <c:pt idx="13">
                  <c:v>21</c:v>
                </c:pt>
                <c:pt idx="14">
                  <c:v>21</c:v>
                </c:pt>
                <c:pt idx="15">
                  <c:v>19</c:v>
                </c:pt>
                <c:pt idx="16">
                  <c:v>19</c:v>
                </c:pt>
                <c:pt idx="17">
                  <c:v>16</c:v>
                </c:pt>
                <c:pt idx="18">
                  <c:v>15</c:v>
                </c:pt>
                <c:pt idx="19">
                  <c:v>12</c:v>
                </c:pt>
                <c:pt idx="20">
                  <c:v>12</c:v>
                </c:pt>
                <c:pt idx="21">
                  <c:v>12</c:v>
                </c:pt>
                <c:pt idx="22">
                  <c:v>10</c:v>
                </c:pt>
                <c:pt idx="23">
                  <c:v>10</c:v>
                </c:pt>
                <c:pt idx="24">
                  <c:v>9</c:v>
                </c:pt>
                <c:pt idx="25">
                  <c:v>8</c:v>
                </c:pt>
                <c:pt idx="26">
                  <c:v>7</c:v>
                </c:pt>
                <c:pt idx="27">
                  <c:v>2</c:v>
                </c:pt>
                <c:pt idx="28">
                  <c:v>0</c:v>
                </c:pt>
              </c:numCache>
            </c:numRef>
          </c:val>
        </c:ser>
        <c:dLbls>
          <c:showLegendKey val="0"/>
          <c:showVal val="0"/>
          <c:showCatName val="0"/>
          <c:showSerName val="0"/>
          <c:showPercent val="0"/>
          <c:showBubbleSize val="0"/>
        </c:dLbls>
        <c:gapWidth val="150"/>
        <c:overlap val="-25"/>
        <c:axId val="256933248"/>
        <c:axId val="256943232"/>
      </c:barChart>
      <c:catAx>
        <c:axId val="256933248"/>
        <c:scaling>
          <c:orientation val="minMax"/>
        </c:scaling>
        <c:delete val="0"/>
        <c:axPos val="b"/>
        <c:numFmt formatCode="General" sourceLinked="1"/>
        <c:majorTickMark val="none"/>
        <c:minorTickMark val="none"/>
        <c:tickLblPos val="nextTo"/>
        <c:crossAx val="256943232"/>
        <c:crosses val="autoZero"/>
        <c:auto val="1"/>
        <c:lblAlgn val="ctr"/>
        <c:lblOffset val="100"/>
        <c:noMultiLvlLbl val="0"/>
      </c:catAx>
      <c:valAx>
        <c:axId val="256943232"/>
        <c:scaling>
          <c:orientation val="minMax"/>
        </c:scaling>
        <c:delete val="1"/>
        <c:axPos val="l"/>
        <c:numFmt formatCode="#,##0" sourceLinked="1"/>
        <c:majorTickMark val="out"/>
        <c:minorTickMark val="none"/>
        <c:tickLblPos val="nextTo"/>
        <c:crossAx val="25693324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
          <c:w val="0.73472331583552053"/>
          <c:h val="0.62393282036326647"/>
        </c:manualLayout>
      </c:layout>
      <c:pie3DChart>
        <c:varyColors val="1"/>
        <c:ser>
          <c:idx val="0"/>
          <c:order val="0"/>
          <c:explosion val="25"/>
          <c:dPt>
            <c:idx val="0"/>
            <c:bubble3D val="0"/>
          </c:dPt>
          <c:dPt>
            <c:idx val="1"/>
            <c:bubble3D val="0"/>
            <c:spPr>
              <a:solidFill>
                <a:srgbClr val="C00000"/>
              </a:solidFill>
            </c:spPr>
          </c:dPt>
          <c:dPt>
            <c:idx val="2"/>
            <c:bubble3D val="0"/>
            <c:spPr>
              <a:solidFill>
                <a:srgbClr val="00B050"/>
              </a:solidFill>
            </c:spPr>
          </c:dPt>
          <c:dLbls>
            <c:spPr>
              <a:noFill/>
              <a:ln w="25400">
                <a:noFill/>
              </a:ln>
            </c:spPr>
            <c:txPr>
              <a:bodyPr/>
              <a:lstStyle/>
              <a:p>
                <a:pPr>
                  <a:defRPr sz="10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Лист2!$C$4:$C$6</c:f>
              <c:strCache>
                <c:ptCount val="3"/>
                <c:pt idx="0">
                  <c:v>справи наказного провадження</c:v>
                </c:pt>
                <c:pt idx="1">
                  <c:v>справи окремого провадження</c:v>
                </c:pt>
                <c:pt idx="2">
                  <c:v>справи позовного провадження</c:v>
                </c:pt>
              </c:strCache>
            </c:strRef>
          </c:cat>
          <c:val>
            <c:numRef>
              <c:f>Лист2!$D$4:$D$6</c:f>
              <c:numCache>
                <c:formatCode>General</c:formatCode>
                <c:ptCount val="3"/>
                <c:pt idx="0">
                  <c:v>8.23</c:v>
                </c:pt>
                <c:pt idx="1">
                  <c:v>10.32</c:v>
                </c:pt>
                <c:pt idx="2">
                  <c:v>81.45</c:v>
                </c:pt>
              </c:numCache>
            </c:numRef>
          </c:val>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3958486439195106"/>
          <c:y val="0.51282200836006619"/>
          <c:w val="0.34166710411198598"/>
          <c:h val="0.44824401223351351"/>
        </c:manualLayout>
      </c:layout>
      <c:overlay val="0"/>
      <c:txPr>
        <a:bodyPr/>
        <a:lstStyle/>
        <a:p>
          <a:pPr>
            <a:defRPr sz="920" b="0" i="0" u="none" strike="noStrike" baseline="0">
              <a:solidFill>
                <a:srgbClr val="000000"/>
              </a:solidFill>
              <a:latin typeface="Calibri"/>
              <a:ea typeface="Calibri"/>
              <a:cs typeface="Calibri"/>
            </a:defRPr>
          </a:pPr>
          <a:endParaRPr lang="ru-RU"/>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5.7454185240217927E-2"/>
          <c:y val="0.1056243586835596"/>
          <c:w val="0.80386388188954094"/>
          <c:h val="0.45679104132716314"/>
        </c:manualLayout>
      </c:layout>
      <c:pie3DChart>
        <c:varyColors val="1"/>
        <c:ser>
          <c:idx val="0"/>
          <c:order val="0"/>
          <c:spPr>
            <a:solidFill>
              <a:srgbClr val="FFFF00"/>
            </a:solidFill>
            <a:ln w="3175">
              <a:solidFill>
                <a:srgbClr val="333399"/>
              </a:solidFill>
              <a:prstDash val="solid"/>
            </a:ln>
          </c:spPr>
          <c:explosion val="25"/>
          <c:dPt>
            <c:idx val="0"/>
            <c:bubble3D val="0"/>
            <c:spPr>
              <a:solidFill>
                <a:srgbClr val="008080"/>
              </a:solidFill>
              <a:ln w="3175">
                <a:solidFill>
                  <a:srgbClr val="333399"/>
                </a:solidFill>
                <a:prstDash val="solid"/>
              </a:ln>
            </c:spPr>
          </c:dPt>
          <c:dPt>
            <c:idx val="1"/>
            <c:bubble3D val="0"/>
            <c:spPr>
              <a:solidFill>
                <a:srgbClr val="0000FF"/>
              </a:solidFill>
              <a:ln w="3175">
                <a:solidFill>
                  <a:srgbClr val="333399"/>
                </a:solidFill>
                <a:prstDash val="solid"/>
              </a:ln>
            </c:spPr>
          </c:dPt>
          <c:dPt>
            <c:idx val="2"/>
            <c:bubble3D val="0"/>
            <c:spPr>
              <a:solidFill>
                <a:srgbClr val="FF99CC"/>
              </a:solidFill>
              <a:ln w="3175">
                <a:solidFill>
                  <a:srgbClr val="333399"/>
                </a:solidFill>
                <a:prstDash val="solid"/>
              </a:ln>
            </c:spPr>
          </c:dPt>
          <c:dPt>
            <c:idx val="3"/>
            <c:bubble3D val="0"/>
            <c:spPr>
              <a:solidFill>
                <a:srgbClr val="008000"/>
              </a:solidFill>
              <a:ln w="3175">
                <a:solidFill>
                  <a:srgbClr val="333399"/>
                </a:solidFill>
                <a:prstDash val="solid"/>
              </a:ln>
            </c:spPr>
          </c:dPt>
          <c:dPt>
            <c:idx val="4"/>
            <c:bubble3D val="0"/>
          </c:dPt>
          <c:dPt>
            <c:idx val="5"/>
            <c:bubble3D val="0"/>
            <c:spPr>
              <a:solidFill>
                <a:srgbClr val="FF6600"/>
              </a:solidFill>
              <a:ln w="3175">
                <a:solidFill>
                  <a:srgbClr val="333399"/>
                </a:solidFill>
                <a:prstDash val="solid"/>
              </a:ln>
            </c:spPr>
          </c:dPt>
          <c:dPt>
            <c:idx val="6"/>
            <c:bubble3D val="0"/>
            <c:spPr>
              <a:solidFill>
                <a:srgbClr val="FF9900"/>
              </a:solidFill>
              <a:ln w="3175">
                <a:solidFill>
                  <a:srgbClr val="333399"/>
                </a:solidFill>
                <a:prstDash val="solid"/>
              </a:ln>
            </c:spPr>
          </c:dPt>
          <c:dPt>
            <c:idx val="7"/>
            <c:bubble3D val="0"/>
            <c:spPr>
              <a:solidFill>
                <a:srgbClr val="00FFFF"/>
              </a:solidFill>
              <a:ln w="3175">
                <a:solidFill>
                  <a:srgbClr val="333399"/>
                </a:solidFill>
                <a:prstDash val="solid"/>
              </a:ln>
            </c:spPr>
          </c:dPt>
          <c:dPt>
            <c:idx val="8"/>
            <c:bubble3D val="0"/>
            <c:spPr>
              <a:solidFill>
                <a:srgbClr val="0066CC"/>
              </a:solidFill>
              <a:ln w="3175">
                <a:solidFill>
                  <a:srgbClr val="333399"/>
                </a:solidFill>
                <a:prstDash val="solid"/>
              </a:ln>
            </c:spPr>
          </c:dPt>
          <c:dPt>
            <c:idx val="9"/>
            <c:bubble3D val="0"/>
            <c:spPr>
              <a:solidFill>
                <a:srgbClr val="800000"/>
              </a:solidFill>
              <a:ln w="3175">
                <a:solidFill>
                  <a:srgbClr val="333399"/>
                </a:solidFill>
                <a:prstDash val="solid"/>
              </a:ln>
            </c:spPr>
          </c:dPt>
          <c:dLbls>
            <c:dLbl>
              <c:idx val="0"/>
              <c:layout>
                <c:manualLayout>
                  <c:x val="-4.4645942288417517E-3"/>
                  <c:y val="5.287363770886664E-2"/>
                </c:manualLayout>
              </c:layout>
              <c:dLblPos val="bestFit"/>
              <c:showLegendKey val="0"/>
              <c:showVal val="1"/>
              <c:showCatName val="0"/>
              <c:showSerName val="0"/>
              <c:showPercent val="0"/>
              <c:showBubbleSize val="0"/>
            </c:dLbl>
            <c:spPr>
              <a:solidFill>
                <a:srgbClr val="FFFFFF"/>
              </a:solidFill>
              <a:ln w="25400">
                <a:noFill/>
              </a:ln>
            </c:spPr>
            <c:txPr>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dLbls>
          <c:cat>
            <c:strRef>
              <c:f>Лист3!$C$4:$C$13</c:f>
              <c:strCache>
                <c:ptCount val="10"/>
                <c:pt idx="0">
                  <c:v>спори про право власності та інші речові права</c:v>
                </c:pt>
                <c:pt idx="1">
                  <c:v>спори, що виникають з правочинів</c:v>
                </c:pt>
                <c:pt idx="2">
                  <c:v>спори про недоговірні зобов`язання </c:v>
                </c:pt>
                <c:pt idx="3">
                  <c:v>спори про спадкове право</c:v>
                </c:pt>
                <c:pt idx="4">
                  <c:v>спори про захист немайнових прав фізичних осіб</c:v>
                </c:pt>
                <c:pt idx="5">
                  <c:v>спори, що виникають з житлових правовідносин</c:v>
                </c:pt>
                <c:pt idx="6">
                  <c:v>спори, що виникають із земельних правовідносин</c:v>
                </c:pt>
                <c:pt idx="7">
                  <c:v>спори, що виникають із сімейних правовідносин</c:v>
                </c:pt>
                <c:pt idx="8">
                  <c:v>спори, що виникають із трудових правовідносин</c:v>
                </c:pt>
                <c:pt idx="9">
                  <c:v>спори, щодо захисту прав споживачів</c:v>
                </c:pt>
              </c:strCache>
            </c:strRef>
          </c:cat>
          <c:val>
            <c:numRef>
              <c:f>Лист3!$D$4:$D$13</c:f>
              <c:numCache>
                <c:formatCode>General</c:formatCode>
                <c:ptCount val="10"/>
                <c:pt idx="0">
                  <c:v>4.0599999999999996</c:v>
                </c:pt>
                <c:pt idx="1">
                  <c:v>23.56</c:v>
                </c:pt>
                <c:pt idx="2">
                  <c:v>3.65</c:v>
                </c:pt>
                <c:pt idx="3">
                  <c:v>15.68</c:v>
                </c:pt>
                <c:pt idx="4">
                  <c:v>0.24</c:v>
                </c:pt>
                <c:pt idx="5">
                  <c:v>4.9000000000000004</c:v>
                </c:pt>
                <c:pt idx="6">
                  <c:v>4.2</c:v>
                </c:pt>
                <c:pt idx="7">
                  <c:v>40.93</c:v>
                </c:pt>
                <c:pt idx="8">
                  <c:v>1.35</c:v>
                </c:pt>
                <c:pt idx="9">
                  <c:v>0.72</c:v>
                </c:pt>
              </c:numCache>
            </c:numRef>
          </c:val>
        </c:ser>
        <c:dLbls>
          <c:showLegendKey val="0"/>
          <c:showVal val="0"/>
          <c:showCatName val="0"/>
          <c:showSerName val="0"/>
          <c:showPercent val="0"/>
          <c:showBubbleSize val="0"/>
          <c:showLeaderLines val="1"/>
        </c:dLbls>
      </c:pie3DChart>
      <c:spPr>
        <a:solidFill>
          <a:srgbClr val="FFFFFF"/>
        </a:solidFill>
        <a:ln w="25400">
          <a:noFill/>
        </a:ln>
      </c:spPr>
    </c:plotArea>
    <c:legend>
      <c:legendPos val="b"/>
      <c:layout>
        <c:manualLayout>
          <c:xMode val="edge"/>
          <c:yMode val="edge"/>
          <c:x val="3.2689450222882617E-2"/>
          <c:y val="0.67489841547584328"/>
          <c:w val="0.89747462102155506"/>
          <c:h val="0.31275784971323028"/>
        </c:manualLayout>
      </c:layout>
      <c:overlay val="0"/>
      <c:spPr>
        <a:solidFill>
          <a:srgbClr val="FFFFFF"/>
        </a:solidFill>
        <a:ln w="3175">
          <a:solidFill>
            <a:srgbClr val="000000"/>
          </a:solidFill>
          <a:prstDash val="solid"/>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zero"/>
    <c:showDLblsOverMax val="0"/>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Структура цивільних справ окремого провадження </a:t>
            </a:r>
          </a:p>
          <a:p>
            <a:pPr>
              <a:defRPr/>
            </a:pPr>
            <a:r>
              <a:rPr lang="ru-RU"/>
              <a:t>у </a:t>
            </a:r>
            <a:r>
              <a:rPr lang="uk-UA"/>
              <a:t> 2019</a:t>
            </a:r>
            <a:r>
              <a:rPr lang="uk-UA" baseline="0"/>
              <a:t> році</a:t>
            </a:r>
            <a:r>
              <a:rPr lang="ru-RU"/>
              <a:t>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stacked"/>
        <c:varyColors val="0"/>
        <c:ser>
          <c:idx val="0"/>
          <c:order val="0"/>
          <c:invertIfNegative val="0"/>
          <c:dLbls>
            <c:dLbl>
              <c:idx val="0"/>
              <c:layout>
                <c:manualLayout>
                  <c:x val="0.10470347648261759"/>
                  <c:y val="-9.4450968419908521E-3"/>
                </c:manualLayout>
              </c:layout>
              <c:spPr/>
              <c:txPr>
                <a:bodyPr/>
                <a:lstStyle/>
                <a:p>
                  <a:pPr>
                    <a:defRPr/>
                  </a:pPr>
                  <a:endParaRPr lang="ru-RU"/>
                </a:p>
              </c:txPr>
              <c:showLegendKey val="0"/>
              <c:showVal val="1"/>
              <c:showCatName val="0"/>
              <c:showSerName val="0"/>
              <c:showPercent val="0"/>
              <c:showBubbleSize val="0"/>
            </c:dLbl>
            <c:dLbl>
              <c:idx val="1"/>
              <c:layout>
                <c:manualLayout>
                  <c:x val="0.14059252906276379"/>
                  <c:y val="1.1090260039352163E-2"/>
                </c:manualLayout>
              </c:layout>
              <c:spPr/>
              <c:txPr>
                <a:bodyPr/>
                <a:lstStyle/>
                <a:p>
                  <a:pPr>
                    <a:defRPr/>
                  </a:pPr>
                  <a:endParaRPr lang="ru-RU"/>
                </a:p>
              </c:txPr>
              <c:showLegendKey val="0"/>
              <c:showVal val="1"/>
              <c:showCatName val="0"/>
              <c:showSerName val="0"/>
              <c:showPercent val="0"/>
              <c:showBubbleSize val="0"/>
            </c:dLbl>
            <c:dLbl>
              <c:idx val="2"/>
              <c:layout>
                <c:manualLayout>
                  <c:x val="9.3251533742331291E-2"/>
                  <c:y val="-1.5741828069984944E-2"/>
                </c:manualLayout>
              </c:layout>
              <c:spPr/>
              <c:txPr>
                <a:bodyPr/>
                <a:lstStyle/>
                <a:p>
                  <a:pPr>
                    <a:defRPr/>
                  </a:pPr>
                  <a:endParaRPr lang="ru-RU"/>
                </a:p>
              </c:txPr>
              <c:showLegendKey val="0"/>
              <c:showVal val="1"/>
              <c:showCatName val="0"/>
              <c:showSerName val="0"/>
              <c:showPercent val="0"/>
              <c:showBubbleSize val="0"/>
            </c:dLbl>
            <c:dLbl>
              <c:idx val="3"/>
              <c:layout>
                <c:manualLayout>
                  <c:x val="8.3435582822085894E-2"/>
                  <c:y val="-1.5741828069985003E-2"/>
                </c:manualLayout>
              </c:layout>
              <c:spPr/>
              <c:txPr>
                <a:bodyPr/>
                <a:lstStyle/>
                <a:p>
                  <a:pPr>
                    <a:defRPr/>
                  </a:pPr>
                  <a:endParaRPr lang="ru-RU"/>
                </a:p>
              </c:txPr>
              <c:showLegendKey val="0"/>
              <c:showVal val="1"/>
              <c:showCatName val="0"/>
              <c:showSerName val="0"/>
              <c:showPercent val="0"/>
              <c:showBubbleSize val="0"/>
            </c:dLbl>
            <c:dLbl>
              <c:idx val="4"/>
              <c:layout>
                <c:manualLayout>
                  <c:x val="7.6891615541922295E-2"/>
                  <c:y val="-9.4450968419909666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Лист4!$C$3:$C$7</c:f>
              <c:strCache>
                <c:ptCount val="5"/>
                <c:pt idx="0">
                  <c:v>справи про обмеження цивільної дієздатності фізичної особи, визнання фізичної особи недієздатною та поновлення цивільної дієздатності</c:v>
                </c:pt>
                <c:pt idx="1">
                  <c:v>справи про встановлення фактів, що мають юридичне начення</c:v>
                </c:pt>
                <c:pt idx="2">
                  <c:v>справи про надання особі психіатричної допомоги в примусовому порядку</c:v>
                </c:pt>
                <c:pt idx="3">
                  <c:v>справи про усиновлення</c:v>
                </c:pt>
                <c:pt idx="4">
                  <c:v>Справи про визнання спадщини відумерлою</c:v>
                </c:pt>
              </c:strCache>
            </c:strRef>
          </c:cat>
          <c:val>
            <c:numRef>
              <c:f>Лист4!$D$3:$D$7</c:f>
              <c:numCache>
                <c:formatCode>General</c:formatCode>
                <c:ptCount val="5"/>
                <c:pt idx="0">
                  <c:v>7.44</c:v>
                </c:pt>
                <c:pt idx="1">
                  <c:v>68.319999999999993</c:v>
                </c:pt>
                <c:pt idx="2">
                  <c:v>10.83</c:v>
                </c:pt>
                <c:pt idx="3">
                  <c:v>3.36</c:v>
                </c:pt>
                <c:pt idx="4">
                  <c:v>3.33</c:v>
                </c:pt>
              </c:numCache>
            </c:numRef>
          </c:val>
        </c:ser>
        <c:dLbls>
          <c:showLegendKey val="0"/>
          <c:showVal val="0"/>
          <c:showCatName val="0"/>
          <c:showSerName val="0"/>
          <c:showPercent val="0"/>
          <c:showBubbleSize val="0"/>
        </c:dLbls>
        <c:gapWidth val="95"/>
        <c:gapDepth val="95"/>
        <c:shape val="box"/>
        <c:axId val="242176384"/>
        <c:axId val="242177920"/>
        <c:axId val="0"/>
      </c:bar3DChart>
      <c:catAx>
        <c:axId val="242176384"/>
        <c:scaling>
          <c:orientation val="minMax"/>
        </c:scaling>
        <c:delete val="0"/>
        <c:axPos val="l"/>
        <c:numFmt formatCode="General" sourceLinked="1"/>
        <c:majorTickMark val="none"/>
        <c:minorTickMark val="none"/>
        <c:tickLblPos val="nextTo"/>
        <c:crossAx val="242177920"/>
        <c:crosses val="autoZero"/>
        <c:auto val="1"/>
        <c:lblAlgn val="ctr"/>
        <c:lblOffset val="100"/>
        <c:noMultiLvlLbl val="0"/>
      </c:catAx>
      <c:valAx>
        <c:axId val="242177920"/>
        <c:scaling>
          <c:orientation val="minMax"/>
        </c:scaling>
        <c:delete val="1"/>
        <c:axPos val="b"/>
        <c:numFmt formatCode="General" sourceLinked="1"/>
        <c:majorTickMark val="out"/>
        <c:minorTickMark val="none"/>
        <c:tickLblPos val="nextTo"/>
        <c:crossAx val="242176384"/>
        <c:crosses val="autoZero"/>
        <c:crossBetween val="between"/>
      </c:valAx>
      <c:spPr>
        <a:noFill/>
        <a:ln w="25400">
          <a:noFill/>
        </a:ln>
      </c:spPr>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40755971128608925"/>
          <c:y val="0"/>
          <c:w val="0.59232362204724409"/>
          <c:h val="0.99996074605718532"/>
        </c:manualLayout>
      </c:layout>
      <c:bar3DChart>
        <c:barDir val="bar"/>
        <c:grouping val="stacked"/>
        <c:varyColors val="0"/>
        <c:ser>
          <c:idx val="0"/>
          <c:order val="0"/>
          <c:invertIfNegative val="0"/>
          <c:dLbls>
            <c:dLbl>
              <c:idx val="0"/>
              <c:layout>
                <c:manualLayout>
                  <c:x val="0.17209906379642351"/>
                  <c:y val="0"/>
                </c:manualLayout>
              </c:layout>
              <c:spPr/>
              <c:txPr>
                <a:bodyPr/>
                <a:lstStyle/>
                <a:p>
                  <a:pPr>
                    <a:defRPr/>
                  </a:pPr>
                  <a:endParaRPr lang="ru-RU"/>
                </a:p>
              </c:txPr>
              <c:showLegendKey val="0"/>
              <c:showVal val="1"/>
              <c:showCatName val="0"/>
              <c:showSerName val="0"/>
              <c:showPercent val="0"/>
              <c:showBubbleSize val="0"/>
            </c:dLbl>
            <c:dLbl>
              <c:idx val="1"/>
              <c:layout>
                <c:manualLayout>
                  <c:x val="4.6936108308115496E-2"/>
                  <c:y val="-6.2524400516540167E-3"/>
                </c:manualLayout>
              </c:layout>
              <c:spPr/>
              <c:txPr>
                <a:bodyPr/>
                <a:lstStyle/>
                <a:p>
                  <a:pPr>
                    <a:defRPr/>
                  </a:pPr>
                  <a:endParaRPr lang="ru-RU"/>
                </a:p>
              </c:txPr>
              <c:showLegendKey val="0"/>
              <c:showVal val="1"/>
              <c:showCatName val="0"/>
              <c:showSerName val="0"/>
              <c:showPercent val="0"/>
              <c:showBubbleSize val="0"/>
            </c:dLbl>
            <c:dLbl>
              <c:idx val="2"/>
              <c:layout>
                <c:manualLayout>
                  <c:x val="0.281616649848693"/>
                  <c:y val="-9.3786600774810255E-3"/>
                </c:manualLayout>
              </c:layout>
              <c:spPr/>
              <c:txPr>
                <a:bodyPr/>
                <a:lstStyle/>
                <a:p>
                  <a:pPr>
                    <a:defRPr/>
                  </a:pPr>
                  <a:endParaRPr lang="ru-RU"/>
                </a:p>
              </c:txPr>
              <c:showLegendKey val="0"/>
              <c:showVal val="1"/>
              <c:showCatName val="0"/>
              <c:showSerName val="0"/>
              <c:showPercent val="0"/>
              <c:showBubbleSize val="0"/>
            </c:dLbl>
            <c:dLbl>
              <c:idx val="3"/>
              <c:layout>
                <c:manualLayout>
                  <c:x val="9.7348965379795038E-2"/>
                  <c:y val="0"/>
                </c:manualLayout>
              </c:layout>
              <c:spPr/>
              <c:txPr>
                <a:bodyPr/>
                <a:lstStyle/>
                <a:p>
                  <a:pPr>
                    <a:defRPr/>
                  </a:pPr>
                  <a:endParaRPr lang="ru-RU"/>
                </a:p>
              </c:txPr>
              <c:showLegendKey val="0"/>
              <c:showVal val="1"/>
              <c:showCatName val="0"/>
              <c:showSerName val="0"/>
              <c:showPercent val="0"/>
              <c:showBubbleSize val="0"/>
            </c:dLbl>
            <c:dLbl>
              <c:idx val="4"/>
              <c:layout>
                <c:manualLayout>
                  <c:x val="0.11820945796117978"/>
                  <c:y val="0"/>
                </c:manualLayout>
              </c:layout>
              <c:spPr/>
              <c:txPr>
                <a:bodyPr/>
                <a:lstStyle/>
                <a:p>
                  <a:pPr>
                    <a:defRPr/>
                  </a:pPr>
                  <a:endParaRPr lang="ru-RU"/>
                </a:p>
              </c:txPr>
              <c:showLegendKey val="0"/>
              <c:showVal val="1"/>
              <c:showCatName val="0"/>
              <c:showSerName val="0"/>
              <c:showPercent val="0"/>
              <c:showBubbleSize val="0"/>
            </c:dLbl>
            <c:dLbl>
              <c:idx val="5"/>
              <c:layout>
                <c:manualLayout>
                  <c:x val="0.13559320177900033"/>
                  <c:y val="0"/>
                </c:manualLayout>
              </c:layout>
              <c:spPr/>
              <c:txPr>
                <a:bodyPr/>
                <a:lstStyle/>
                <a:p>
                  <a:pPr>
                    <a:defRPr/>
                  </a:pPr>
                  <a:endParaRPr lang="ru-RU"/>
                </a:p>
              </c:txPr>
              <c:showLegendKey val="0"/>
              <c:showVal val="1"/>
              <c:showCatName val="0"/>
              <c:showSerName val="0"/>
              <c:showPercent val="0"/>
              <c:showBubbleSize val="0"/>
            </c:dLbl>
            <c:dLbl>
              <c:idx val="6"/>
              <c:layout>
                <c:manualLayout>
                  <c:x val="7.9965221561974553E-2"/>
                  <c:y val="0"/>
                </c:manualLayout>
              </c:layout>
              <c:spPr/>
              <c:txPr>
                <a:bodyPr/>
                <a:lstStyle/>
                <a:p>
                  <a:pPr>
                    <a:defRPr/>
                  </a:pPr>
                  <a:endParaRPr lang="ru-RU"/>
                </a:p>
              </c:txPr>
              <c:showLegendKey val="0"/>
              <c:showVal val="1"/>
              <c:showCatName val="0"/>
              <c:showSerName val="0"/>
              <c:showPercent val="0"/>
              <c:showBubbleSize val="0"/>
            </c:dLbl>
            <c:dLbl>
              <c:idx val="7"/>
              <c:layout>
                <c:manualLayout>
                  <c:x val="6.7796464009627577E-2"/>
                  <c:y val="-3.1262200258270084E-3"/>
                </c:manualLayout>
              </c:layout>
              <c:spPr/>
              <c:txPr>
                <a:bodyPr/>
                <a:lstStyle/>
                <a:p>
                  <a:pPr>
                    <a:defRPr/>
                  </a:pPr>
                  <a:endParaRPr lang="ru-RU"/>
                </a:p>
              </c:txPr>
              <c:showLegendKey val="0"/>
              <c:showVal val="1"/>
              <c:showCatName val="0"/>
              <c:showSerName val="0"/>
              <c:showPercent val="0"/>
              <c:showBubbleSize val="0"/>
            </c:dLbl>
            <c:dLbl>
              <c:idx val="8"/>
              <c:layout>
                <c:manualLayout>
                  <c:x val="7.9965221561974553E-2"/>
                  <c:y val="-3.1262200258270084E-3"/>
                </c:manualLayout>
              </c:layout>
              <c:spPr/>
              <c:txPr>
                <a:bodyPr/>
                <a:lstStyle/>
                <a:p>
                  <a:pPr>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cat>
            <c:strRef>
              <c:f>Лист6!$C$3:$C$11</c:f>
              <c:strCache>
                <c:ptCount val="9"/>
                <c:pt idx="0">
                  <c:v>злочини проти життя та здоров`я особи </c:v>
                </c:pt>
                <c:pt idx="1">
                  <c:v>злочини проти виборчих, трудових та ін. прав</c:v>
                </c:pt>
                <c:pt idx="2">
                  <c:v>злочини проти власності</c:v>
                </c:pt>
                <c:pt idx="3">
                  <c:v>злочини проти правосуддя </c:v>
                </c:pt>
                <c:pt idx="4">
                  <c:v>злочини проти безпеки руху та експлуатації транспорту</c:v>
                </c:pt>
                <c:pt idx="5">
                  <c:v>злочини у сфері обігу наркотичних засобів </c:v>
                </c:pt>
                <c:pt idx="6">
                  <c:v>злочини у сфері службової діяльності </c:v>
                </c:pt>
                <c:pt idx="7">
                  <c:v>злочини проти громадського порядку та  моральності </c:v>
                </c:pt>
                <c:pt idx="8">
                  <c:v>злочини проти авторитету органів державної влади</c:v>
                </c:pt>
              </c:strCache>
            </c:strRef>
          </c:cat>
          <c:val>
            <c:numRef>
              <c:f>Лист6!$D$3:$D$11</c:f>
              <c:numCache>
                <c:formatCode>General</c:formatCode>
                <c:ptCount val="9"/>
                <c:pt idx="0">
                  <c:v>20.29</c:v>
                </c:pt>
                <c:pt idx="1">
                  <c:v>1</c:v>
                </c:pt>
                <c:pt idx="2">
                  <c:v>42.96</c:v>
                </c:pt>
                <c:pt idx="3">
                  <c:v>2.72</c:v>
                </c:pt>
                <c:pt idx="4">
                  <c:v>6.64</c:v>
                </c:pt>
                <c:pt idx="5">
                  <c:v>10.64</c:v>
                </c:pt>
                <c:pt idx="6">
                  <c:v>1.3</c:v>
                </c:pt>
                <c:pt idx="7">
                  <c:v>4.2300000000000004</c:v>
                </c:pt>
                <c:pt idx="8">
                  <c:v>2</c:v>
                </c:pt>
              </c:numCache>
            </c:numRef>
          </c:val>
        </c:ser>
        <c:dLbls>
          <c:showLegendKey val="0"/>
          <c:showVal val="0"/>
          <c:showCatName val="0"/>
          <c:showSerName val="0"/>
          <c:showPercent val="0"/>
          <c:showBubbleSize val="0"/>
        </c:dLbls>
        <c:gapWidth val="95"/>
        <c:gapDepth val="95"/>
        <c:shape val="cylinder"/>
        <c:axId val="242362240"/>
        <c:axId val="242363776"/>
        <c:axId val="0"/>
      </c:bar3DChart>
      <c:catAx>
        <c:axId val="242362240"/>
        <c:scaling>
          <c:orientation val="minMax"/>
        </c:scaling>
        <c:delete val="0"/>
        <c:axPos val="l"/>
        <c:numFmt formatCode="General" sourceLinked="1"/>
        <c:majorTickMark val="none"/>
        <c:minorTickMark val="none"/>
        <c:tickLblPos val="nextTo"/>
        <c:crossAx val="242363776"/>
        <c:crosses val="autoZero"/>
        <c:auto val="1"/>
        <c:lblAlgn val="ctr"/>
        <c:lblOffset val="100"/>
        <c:noMultiLvlLbl val="0"/>
      </c:catAx>
      <c:valAx>
        <c:axId val="242363776"/>
        <c:scaling>
          <c:orientation val="minMax"/>
        </c:scaling>
        <c:delete val="1"/>
        <c:axPos val="b"/>
        <c:numFmt formatCode="General" sourceLinked="1"/>
        <c:majorTickMark val="out"/>
        <c:minorTickMark val="none"/>
        <c:tickLblPos val="nextTo"/>
        <c:crossAx val="242362240"/>
        <c:crosses val="autoZero"/>
        <c:crossBetween val="between"/>
      </c:valAx>
      <c:spPr>
        <a:noFill/>
        <a:ln w="25400">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BB469-948D-4575-8382-E9AE752EB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3323</Words>
  <Characters>18945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АНАЛІЗ ЗДІЙСНЕННЯ СУДОЧИНСТВА</vt:lpstr>
    </vt:vector>
  </TitlesOfParts>
  <Company>Home, sweet home !!!</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ЗДІЙСНЕННЯ СУДОЧИНСТВА</dc:title>
  <dc:creator>Pitel</dc:creator>
  <cp:lastModifiedBy>Сергій Сорокін</cp:lastModifiedBy>
  <cp:revision>2</cp:revision>
  <cp:lastPrinted>2019-02-21T10:44:00Z</cp:lastPrinted>
  <dcterms:created xsi:type="dcterms:W3CDTF">2020-02-24T13:02:00Z</dcterms:created>
  <dcterms:modified xsi:type="dcterms:W3CDTF">2020-02-24T13:02:00Z</dcterms:modified>
</cp:coreProperties>
</file>